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31" w:rsidRPr="00B90531" w:rsidRDefault="00B90531" w:rsidP="00B90531">
      <w:pPr>
        <w:pStyle w:val="a3"/>
        <w:spacing w:before="0" w:beforeAutospacing="0" w:after="0"/>
        <w:ind w:firstLine="709"/>
        <w:rPr>
          <w:b/>
          <w:bCs/>
          <w:sz w:val="44"/>
          <w:szCs w:val="44"/>
        </w:rPr>
      </w:pPr>
      <w:r w:rsidRPr="00B90531">
        <w:rPr>
          <w:b/>
          <w:bCs/>
          <w:sz w:val="44"/>
          <w:szCs w:val="44"/>
        </w:rPr>
        <w:t>Федеральная антимонопольная служба</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r>
        <w:rPr>
          <w:noProof/>
        </w:rPr>
        <w:drawing>
          <wp:inline distT="0" distB="0" distL="0" distR="0" wp14:anchorId="1D0BEAB2" wp14:editId="6D3774F2">
            <wp:extent cx="2376488" cy="2508250"/>
            <wp:effectExtent l="0" t="0" r="5080" b="6350"/>
            <wp:docPr id="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
                    <pic:cNvPicPr>
                      <a:picLocks noChangeAspect="1"/>
                    </pic:cNvPicPr>
                  </pic:nvPicPr>
                  <pic:blipFill>
                    <a:blip r:embed="rId8" cstate="print"/>
                    <a:srcRect/>
                    <a:stretch>
                      <a:fillRect/>
                    </a:stretch>
                  </pic:blipFill>
                  <pic:spPr bwMode="auto">
                    <a:xfrm>
                      <a:off x="0" y="0"/>
                      <a:ext cx="2376488" cy="2508250"/>
                    </a:xfrm>
                    <a:prstGeom prst="rect">
                      <a:avLst/>
                    </a:prstGeom>
                    <a:noFill/>
                    <a:ln w="9525">
                      <a:noFill/>
                      <a:miter lim="800000"/>
                      <a:headEnd/>
                      <a:tailEnd/>
                    </a:ln>
                  </pic:spPr>
                </pic:pic>
              </a:graphicData>
            </a:graphic>
          </wp:inline>
        </w:drawing>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B90531" w:rsidRDefault="00B90531" w:rsidP="00231BDB">
      <w:pPr>
        <w:pStyle w:val="a3"/>
        <w:spacing w:before="0" w:beforeAutospacing="0" w:after="0"/>
        <w:ind w:firstLine="709"/>
        <w:jc w:val="center"/>
        <w:rPr>
          <w:b/>
          <w:bCs/>
          <w:sz w:val="28"/>
          <w:szCs w:val="28"/>
        </w:rPr>
      </w:pP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ДОКЛАД ФАС России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антимонопольных органов</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Pr="00B90531" w:rsidRDefault="00B90531" w:rsidP="00866411">
      <w:pPr>
        <w:pStyle w:val="a3"/>
        <w:spacing w:before="0" w:beforeAutospacing="0" w:after="0"/>
        <w:jc w:val="center"/>
        <w:rPr>
          <w:bCs/>
          <w:sz w:val="28"/>
          <w:szCs w:val="28"/>
        </w:rPr>
      </w:pPr>
      <w:r w:rsidRPr="00B90531">
        <w:rPr>
          <w:bCs/>
          <w:sz w:val="28"/>
          <w:szCs w:val="28"/>
        </w:rPr>
        <w:t>Москва</w:t>
      </w:r>
    </w:p>
    <w:p w:rsidR="00B90531" w:rsidRPr="00B90531" w:rsidRDefault="00866411" w:rsidP="00866411">
      <w:pPr>
        <w:pStyle w:val="a3"/>
        <w:spacing w:before="0" w:beforeAutospacing="0" w:after="0"/>
        <w:ind w:firstLine="709"/>
        <w:rPr>
          <w:bCs/>
          <w:sz w:val="28"/>
          <w:szCs w:val="28"/>
        </w:rPr>
      </w:pPr>
      <w:r>
        <w:rPr>
          <w:bCs/>
          <w:sz w:val="28"/>
          <w:szCs w:val="28"/>
        </w:rPr>
        <w:t xml:space="preserve">                                                    </w:t>
      </w:r>
      <w:r w:rsidR="00B90531" w:rsidRPr="00B90531">
        <w:rPr>
          <w:bCs/>
          <w:sz w:val="28"/>
          <w:szCs w:val="28"/>
        </w:rPr>
        <w:t>2018</w:t>
      </w:r>
    </w:p>
    <w:p w:rsidR="00B90531" w:rsidRDefault="00B90531" w:rsidP="00231BDB">
      <w:pPr>
        <w:pStyle w:val="a3"/>
        <w:spacing w:before="0" w:beforeAutospacing="0" w:after="0"/>
        <w:ind w:firstLine="709"/>
        <w:jc w:val="center"/>
        <w:rPr>
          <w:bCs/>
          <w:sz w:val="28"/>
          <w:szCs w:val="28"/>
        </w:rPr>
      </w:pPr>
      <w:r>
        <w:rPr>
          <w:bCs/>
          <w:sz w:val="28"/>
          <w:szCs w:val="28"/>
        </w:rPr>
        <w:lastRenderedPageBreak/>
        <w:t>Оглавление</w:t>
      </w:r>
    </w:p>
    <w:p w:rsidR="007A17BB" w:rsidRPr="00B90531" w:rsidRDefault="007A17BB" w:rsidP="00231BDB">
      <w:pPr>
        <w:pStyle w:val="a3"/>
        <w:spacing w:before="0" w:beforeAutospacing="0" w:after="0"/>
        <w:ind w:firstLine="709"/>
        <w:jc w:val="center"/>
        <w:rPr>
          <w:bCs/>
          <w:sz w:val="28"/>
          <w:szCs w:val="28"/>
        </w:rPr>
      </w:pPr>
    </w:p>
    <w:p w:rsidR="00B90531" w:rsidRDefault="007A17BB" w:rsidP="00FD7EF3">
      <w:pPr>
        <w:pStyle w:val="a3"/>
        <w:numPr>
          <w:ilvl w:val="0"/>
          <w:numId w:val="4"/>
        </w:numPr>
        <w:spacing w:before="0" w:beforeAutospacing="0" w:after="0"/>
        <w:ind w:left="1066" w:hanging="357"/>
        <w:jc w:val="both"/>
        <w:rPr>
          <w:bCs/>
          <w:sz w:val="28"/>
          <w:szCs w:val="28"/>
        </w:rPr>
      </w:pPr>
      <w:r w:rsidRPr="007A17BB">
        <w:rPr>
          <w:bCs/>
          <w:sz w:val="28"/>
          <w:szCs w:val="28"/>
        </w:rPr>
        <w:t>Национальный план развития конкуренции на 2018-2020 годы</w:t>
      </w:r>
      <w:r w:rsidR="00FD7EF3">
        <w:rPr>
          <w:bCs/>
          <w:sz w:val="28"/>
          <w:szCs w:val="28"/>
        </w:rPr>
        <w:t xml:space="preserve">   стр. 3</w:t>
      </w:r>
    </w:p>
    <w:p w:rsidR="00FD7EF3" w:rsidRDefault="007A17BB" w:rsidP="00FD7EF3">
      <w:pPr>
        <w:pStyle w:val="a3"/>
        <w:numPr>
          <w:ilvl w:val="0"/>
          <w:numId w:val="4"/>
        </w:numPr>
        <w:spacing w:before="0" w:beforeAutospacing="0" w:after="0"/>
        <w:rPr>
          <w:bCs/>
          <w:sz w:val="28"/>
          <w:szCs w:val="28"/>
        </w:rPr>
      </w:pPr>
      <w:r>
        <w:rPr>
          <w:bCs/>
          <w:sz w:val="28"/>
          <w:szCs w:val="28"/>
        </w:rPr>
        <w:t>«Четвертый антимонопольный пакет»</w:t>
      </w:r>
      <w:r w:rsidR="006E03ED">
        <w:rPr>
          <w:bCs/>
          <w:sz w:val="28"/>
          <w:szCs w:val="28"/>
        </w:rPr>
        <w:t xml:space="preserve"> и «Антикризисный закон»</w:t>
      </w:r>
      <w:r>
        <w:rPr>
          <w:bCs/>
          <w:sz w:val="28"/>
          <w:szCs w:val="28"/>
        </w:rPr>
        <w:t>.</w:t>
      </w:r>
      <w:r w:rsidR="00FD7EF3">
        <w:rPr>
          <w:bCs/>
          <w:sz w:val="28"/>
          <w:szCs w:val="28"/>
        </w:rPr>
        <w:t xml:space="preserve"> </w:t>
      </w:r>
    </w:p>
    <w:p w:rsidR="007A17BB" w:rsidRDefault="00FD7EF3" w:rsidP="00FD7EF3">
      <w:pPr>
        <w:pStyle w:val="a3"/>
        <w:spacing w:before="0" w:beforeAutospacing="0" w:after="0"/>
        <w:ind w:left="1069"/>
        <w:rPr>
          <w:bCs/>
          <w:sz w:val="28"/>
          <w:szCs w:val="28"/>
        </w:rPr>
      </w:pPr>
      <w:r>
        <w:rPr>
          <w:bCs/>
          <w:sz w:val="28"/>
          <w:szCs w:val="28"/>
        </w:rPr>
        <w:t xml:space="preserve">                                                                                                            стр. 6                                                                                                                                                                                                                                              </w:t>
      </w:r>
    </w:p>
    <w:p w:rsidR="007A17BB" w:rsidRDefault="007A17BB" w:rsidP="0060395C">
      <w:pPr>
        <w:pStyle w:val="a3"/>
        <w:numPr>
          <w:ilvl w:val="0"/>
          <w:numId w:val="4"/>
        </w:numPr>
        <w:spacing w:before="0" w:beforeAutospacing="0" w:after="0"/>
        <w:jc w:val="both"/>
        <w:rPr>
          <w:bCs/>
          <w:sz w:val="28"/>
          <w:szCs w:val="28"/>
        </w:rPr>
      </w:pPr>
      <w:r>
        <w:rPr>
          <w:bCs/>
          <w:sz w:val="28"/>
          <w:szCs w:val="28"/>
        </w:rPr>
        <w:t>Президиум ФАС и разъяснениям по некоторым вопросам применения антимонопольного и иного законодательства.</w:t>
      </w:r>
      <w:r w:rsidR="00FD7EF3">
        <w:rPr>
          <w:bCs/>
          <w:sz w:val="28"/>
          <w:szCs w:val="28"/>
        </w:rPr>
        <w:t xml:space="preserve">        стр. 12</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Обзор решений Апелляционной коллегии ФАС России</w:t>
      </w:r>
      <w:r>
        <w:rPr>
          <w:bCs/>
          <w:sz w:val="28"/>
          <w:szCs w:val="28"/>
        </w:rPr>
        <w:t>.</w:t>
      </w:r>
      <w:r w:rsidR="00FD7EF3">
        <w:rPr>
          <w:bCs/>
          <w:sz w:val="28"/>
          <w:szCs w:val="28"/>
        </w:rPr>
        <w:t xml:space="preserve">            стр. 23</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Реформа контрольно-надзорной деятельности и риск-ориентированный подход</w:t>
      </w:r>
      <w:r>
        <w:rPr>
          <w:bCs/>
          <w:sz w:val="28"/>
          <w:szCs w:val="28"/>
        </w:rPr>
        <w:t>.</w:t>
      </w:r>
      <w:r w:rsidR="00FD7EF3">
        <w:rPr>
          <w:bCs/>
          <w:sz w:val="28"/>
          <w:szCs w:val="28"/>
        </w:rPr>
        <w:t xml:space="preserve">                                                              стр. 34</w:t>
      </w:r>
    </w:p>
    <w:p w:rsidR="007A17BB" w:rsidRDefault="007A17BB" w:rsidP="0060395C">
      <w:pPr>
        <w:pStyle w:val="a3"/>
        <w:numPr>
          <w:ilvl w:val="0"/>
          <w:numId w:val="4"/>
        </w:numPr>
        <w:spacing w:before="0" w:beforeAutospacing="0" w:after="0"/>
        <w:jc w:val="both"/>
        <w:rPr>
          <w:bCs/>
          <w:sz w:val="28"/>
          <w:szCs w:val="28"/>
        </w:rPr>
      </w:pPr>
      <w:r>
        <w:rPr>
          <w:bCs/>
          <w:sz w:val="28"/>
          <w:szCs w:val="28"/>
        </w:rPr>
        <w:t>Нормотворческая деятельность и инициативы ФАС России.</w:t>
      </w:r>
      <w:r w:rsidR="00FD7EF3">
        <w:rPr>
          <w:bCs/>
          <w:sz w:val="28"/>
          <w:szCs w:val="28"/>
        </w:rPr>
        <w:t xml:space="preserve">     стр. 38</w:t>
      </w:r>
    </w:p>
    <w:p w:rsidR="007A17BB" w:rsidRPr="007A17BB" w:rsidRDefault="007A17BB" w:rsidP="0060395C">
      <w:pPr>
        <w:pStyle w:val="a5"/>
        <w:numPr>
          <w:ilvl w:val="0"/>
          <w:numId w:val="4"/>
        </w:numPr>
        <w:jc w:val="both"/>
        <w:rPr>
          <w:rFonts w:ascii="Times New Roman" w:eastAsia="Times New Roman" w:hAnsi="Times New Roman" w:cs="Times New Roman"/>
          <w:bCs/>
          <w:sz w:val="28"/>
          <w:szCs w:val="28"/>
          <w:lang w:eastAsia="ru-RU"/>
        </w:rPr>
      </w:pPr>
      <w:r w:rsidRPr="007A17BB">
        <w:rPr>
          <w:rFonts w:ascii="Times New Roman" w:eastAsia="Times New Roman" w:hAnsi="Times New Roman" w:cs="Times New Roman"/>
          <w:bCs/>
          <w:sz w:val="28"/>
          <w:szCs w:val="28"/>
          <w:lang w:eastAsia="ru-RU"/>
        </w:rPr>
        <w:t>Итоги деятельности ФАС России по антимонопольному контролю в 2017 году</w:t>
      </w:r>
      <w:r w:rsidR="006E03ED">
        <w:rPr>
          <w:rFonts w:ascii="Times New Roman" w:eastAsia="Times New Roman" w:hAnsi="Times New Roman" w:cs="Times New Roman"/>
          <w:bCs/>
          <w:sz w:val="28"/>
          <w:szCs w:val="28"/>
          <w:lang w:eastAsia="ru-RU"/>
        </w:rPr>
        <w:t>.</w:t>
      </w:r>
      <w:r w:rsidR="00FD7EF3">
        <w:rPr>
          <w:rFonts w:ascii="Times New Roman" w:eastAsia="Times New Roman" w:hAnsi="Times New Roman" w:cs="Times New Roman"/>
          <w:bCs/>
          <w:sz w:val="28"/>
          <w:szCs w:val="28"/>
          <w:lang w:eastAsia="ru-RU"/>
        </w:rPr>
        <w:t xml:space="preserve">                                                                                         стр. 44</w:t>
      </w:r>
    </w:p>
    <w:p w:rsidR="007A17BB" w:rsidRPr="007A17BB" w:rsidRDefault="007A17BB" w:rsidP="007A17BB">
      <w:pPr>
        <w:pStyle w:val="a3"/>
        <w:spacing w:before="0" w:beforeAutospacing="0" w:after="0"/>
        <w:ind w:left="1069"/>
        <w:jc w:val="both"/>
        <w:rPr>
          <w:bCs/>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7A17BB">
      <w:pPr>
        <w:pStyle w:val="a3"/>
        <w:spacing w:before="0" w:beforeAutospacing="0" w:after="0"/>
        <w:rPr>
          <w:bCs/>
          <w:i/>
          <w:sz w:val="28"/>
          <w:szCs w:val="28"/>
        </w:rPr>
      </w:pPr>
    </w:p>
    <w:p w:rsidR="003C5A54" w:rsidRPr="006E34D2" w:rsidRDefault="007A17BB" w:rsidP="007A17BB">
      <w:pPr>
        <w:pStyle w:val="a3"/>
        <w:ind w:firstLine="709"/>
        <w:jc w:val="both"/>
        <w:rPr>
          <w:bCs/>
          <w:sz w:val="28"/>
          <w:szCs w:val="28"/>
        </w:rPr>
      </w:pPr>
      <w:r w:rsidRPr="006E34D2">
        <w:rPr>
          <w:bCs/>
          <w:sz w:val="28"/>
          <w:szCs w:val="28"/>
        </w:rPr>
        <w:lastRenderedPageBreak/>
        <w:t>Д</w:t>
      </w:r>
      <w:r w:rsidR="003C5A54" w:rsidRPr="006E34D2">
        <w:rPr>
          <w:bCs/>
          <w:sz w:val="28"/>
          <w:szCs w:val="28"/>
        </w:rPr>
        <w:t>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w:t>
      </w:r>
      <w:r w:rsidRPr="006E34D2">
        <w:rPr>
          <w:bCs/>
          <w:sz w:val="28"/>
          <w:szCs w:val="28"/>
        </w:rPr>
        <w:t>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3C5A54" w:rsidRPr="006E34D2" w:rsidRDefault="00B411B1" w:rsidP="003C5A54">
      <w:pPr>
        <w:pStyle w:val="a3"/>
        <w:ind w:firstLine="709"/>
        <w:rPr>
          <w:bCs/>
          <w:sz w:val="28"/>
          <w:szCs w:val="28"/>
        </w:rPr>
      </w:pPr>
      <w:r w:rsidRPr="006E34D2">
        <w:rPr>
          <w:bCs/>
          <w:sz w:val="28"/>
          <w:szCs w:val="28"/>
        </w:rPr>
        <w:t>Основные этапы р</w:t>
      </w:r>
      <w:r w:rsidR="003C5A54" w:rsidRPr="006E34D2">
        <w:rPr>
          <w:bCs/>
          <w:sz w:val="28"/>
          <w:szCs w:val="28"/>
        </w:rPr>
        <w:t>азвития</w:t>
      </w:r>
      <w:r w:rsidRPr="006E34D2">
        <w:rPr>
          <w:bCs/>
          <w:sz w:val="28"/>
          <w:szCs w:val="28"/>
        </w:rPr>
        <w:t xml:space="preserve"> закон</w:t>
      </w:r>
      <w:r w:rsidR="003C5A54" w:rsidRPr="006E34D2">
        <w:rPr>
          <w:bCs/>
          <w:sz w:val="28"/>
          <w:szCs w:val="28"/>
        </w:rPr>
        <w:t>одательства в сфере конкуренции:</w:t>
      </w:r>
    </w:p>
    <w:p w:rsidR="00DA0A71" w:rsidRPr="00675646" w:rsidRDefault="00DA0A71" w:rsidP="003C5A54">
      <w:pPr>
        <w:pStyle w:val="a3"/>
        <w:numPr>
          <w:ilvl w:val="0"/>
          <w:numId w:val="2"/>
        </w:numPr>
        <w:jc w:val="both"/>
        <w:rPr>
          <w:bCs/>
          <w:i/>
          <w:sz w:val="28"/>
          <w:szCs w:val="28"/>
        </w:rPr>
      </w:pPr>
      <w:r w:rsidRPr="00675646">
        <w:rPr>
          <w:bCs/>
          <w:i/>
          <w:sz w:val="28"/>
          <w:szCs w:val="28"/>
        </w:rPr>
        <w:t>«первый антимонопольный пакет», (2006);</w:t>
      </w:r>
    </w:p>
    <w:p w:rsidR="00DA0A71" w:rsidRPr="00675646" w:rsidRDefault="00DA0A71" w:rsidP="003C5A54">
      <w:pPr>
        <w:pStyle w:val="a3"/>
        <w:numPr>
          <w:ilvl w:val="0"/>
          <w:numId w:val="2"/>
        </w:numPr>
        <w:jc w:val="both"/>
        <w:rPr>
          <w:bCs/>
          <w:i/>
          <w:sz w:val="28"/>
          <w:szCs w:val="28"/>
        </w:rPr>
      </w:pPr>
      <w:r w:rsidRPr="00675646">
        <w:rPr>
          <w:bCs/>
          <w:i/>
          <w:sz w:val="28"/>
          <w:szCs w:val="28"/>
        </w:rPr>
        <w:t>«второй антимонопольный пакет», (2009) ;</w:t>
      </w:r>
    </w:p>
    <w:p w:rsidR="00DA0A71" w:rsidRPr="00675646" w:rsidRDefault="00DA0A71" w:rsidP="003C5A54">
      <w:pPr>
        <w:pStyle w:val="a3"/>
        <w:numPr>
          <w:ilvl w:val="0"/>
          <w:numId w:val="2"/>
        </w:numPr>
        <w:jc w:val="both"/>
        <w:rPr>
          <w:bCs/>
          <w:i/>
          <w:sz w:val="28"/>
          <w:szCs w:val="28"/>
        </w:rPr>
      </w:pPr>
      <w:r w:rsidRPr="00675646">
        <w:rPr>
          <w:bCs/>
          <w:i/>
          <w:sz w:val="28"/>
          <w:szCs w:val="28"/>
        </w:rPr>
        <w:t>«третий антимонопольный пакет», (2012).</w:t>
      </w:r>
    </w:p>
    <w:p w:rsidR="00DA0A71" w:rsidRPr="00675646" w:rsidRDefault="00DA0A71" w:rsidP="003C5A54">
      <w:pPr>
        <w:pStyle w:val="a3"/>
        <w:numPr>
          <w:ilvl w:val="0"/>
          <w:numId w:val="2"/>
        </w:numPr>
        <w:jc w:val="both"/>
        <w:rPr>
          <w:bCs/>
          <w:i/>
          <w:sz w:val="28"/>
          <w:szCs w:val="28"/>
        </w:rPr>
      </w:pPr>
      <w:r w:rsidRPr="00675646">
        <w:rPr>
          <w:bCs/>
          <w:i/>
          <w:sz w:val="28"/>
          <w:szCs w:val="28"/>
        </w:rPr>
        <w:t>«четвертый антимонопольный пакет», (2015)</w:t>
      </w:r>
      <w:r w:rsidR="003C5A54" w:rsidRPr="00675646">
        <w:rPr>
          <w:bCs/>
          <w:i/>
          <w:sz w:val="28"/>
          <w:szCs w:val="28"/>
        </w:rPr>
        <w:t>.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3C5A54" w:rsidRPr="006E34D2" w:rsidRDefault="003C5A54" w:rsidP="003C5A54">
      <w:pPr>
        <w:pStyle w:val="a3"/>
        <w:ind w:firstLine="709"/>
        <w:jc w:val="both"/>
        <w:rPr>
          <w:b/>
          <w:bCs/>
          <w:sz w:val="28"/>
          <w:szCs w:val="28"/>
        </w:rPr>
      </w:pPr>
      <w:r w:rsidRPr="006E34D2">
        <w:rPr>
          <w:bCs/>
          <w:sz w:val="28"/>
          <w:szCs w:val="28"/>
        </w:rPr>
        <w:t>Вместе с тем, само</w:t>
      </w:r>
      <w:r w:rsidR="001C5817" w:rsidRPr="006E34D2">
        <w:rPr>
          <w:bCs/>
          <w:sz w:val="28"/>
          <w:szCs w:val="28"/>
        </w:rPr>
        <w:t>е</w:t>
      </w:r>
      <w:r w:rsidRPr="006E34D2">
        <w:rPr>
          <w:bCs/>
          <w:sz w:val="28"/>
          <w:szCs w:val="28"/>
        </w:rPr>
        <w:t xml:space="preserve">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sidR="0009347B">
        <w:rPr>
          <w:b/>
          <w:bCs/>
          <w:sz w:val="28"/>
          <w:szCs w:val="28"/>
        </w:rPr>
        <w:t>, Указ</w:t>
      </w:r>
      <w:r w:rsidRPr="006E34D2">
        <w:rPr>
          <w:b/>
          <w:bCs/>
          <w:sz w:val="28"/>
          <w:szCs w:val="28"/>
        </w:rPr>
        <w:t>).</w:t>
      </w:r>
    </w:p>
    <w:p w:rsidR="003C5A54" w:rsidRPr="006E34D2" w:rsidRDefault="003C5A54" w:rsidP="003C5A54">
      <w:pPr>
        <w:pStyle w:val="a3"/>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3C5A54" w:rsidRPr="003C5A54" w:rsidRDefault="003C5A54" w:rsidP="003C5A54">
      <w:pPr>
        <w:pStyle w:val="a3"/>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направлений государственной политики по развитию конкуренции;</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3C5A54" w:rsidRPr="003C5A54" w:rsidRDefault="003C5A54" w:rsidP="003C5A54">
      <w:pPr>
        <w:pStyle w:val="a3"/>
        <w:ind w:firstLine="709"/>
        <w:jc w:val="both"/>
        <w:rPr>
          <w:bCs/>
          <w:i/>
          <w:sz w:val="28"/>
          <w:szCs w:val="28"/>
        </w:rPr>
      </w:pPr>
      <w:r w:rsidRPr="003C5A54">
        <w:rPr>
          <w:bCs/>
          <w:i/>
          <w:sz w:val="28"/>
          <w:szCs w:val="28"/>
        </w:rPr>
        <w:lastRenderedPageBreak/>
        <w:t>- объединение деятельности и усилий в этом направлении всех ветвей и уровней власти, а также институтов гражданского общества.</w:t>
      </w:r>
    </w:p>
    <w:p w:rsidR="003C5A54" w:rsidRPr="006E03ED" w:rsidRDefault="003C5A54" w:rsidP="003C5A54">
      <w:pPr>
        <w:pStyle w:val="a3"/>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удовлетворенности потребителей; </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3C5A54" w:rsidRPr="003C5A54" w:rsidRDefault="003C5A54" w:rsidP="003C5A54">
      <w:pPr>
        <w:pStyle w:val="a3"/>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3C5A54" w:rsidRPr="006E03ED" w:rsidRDefault="003C5A54" w:rsidP="003C5A54">
      <w:pPr>
        <w:pStyle w:val="a3"/>
        <w:ind w:firstLine="709"/>
        <w:jc w:val="both"/>
        <w:rPr>
          <w:bCs/>
          <w:sz w:val="28"/>
          <w:szCs w:val="28"/>
        </w:rPr>
      </w:pPr>
      <w:r w:rsidRPr="006E03ED">
        <w:rPr>
          <w:bCs/>
          <w:sz w:val="28"/>
          <w:szCs w:val="28"/>
        </w:rPr>
        <w:t>Задачами Указа являются:</w:t>
      </w:r>
    </w:p>
    <w:p w:rsidR="003C5A54" w:rsidRPr="003C5A54" w:rsidRDefault="003C5A54" w:rsidP="003C5A54">
      <w:pPr>
        <w:pStyle w:val="a3"/>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C5A54" w:rsidRPr="003C5A54" w:rsidRDefault="003C5A54" w:rsidP="003C5A54">
      <w:pPr>
        <w:pStyle w:val="a3"/>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1C5817" w:rsidRDefault="003C5A54" w:rsidP="001C5817">
      <w:pPr>
        <w:pStyle w:val="a3"/>
        <w:ind w:firstLine="709"/>
        <w:jc w:val="both"/>
        <w:rPr>
          <w:bCs/>
          <w:i/>
          <w:sz w:val="28"/>
          <w:szCs w:val="28"/>
        </w:rPr>
      </w:pPr>
      <w:r w:rsidRPr="003C5A54">
        <w:rPr>
          <w:bCs/>
          <w:i/>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3C5A54" w:rsidRPr="006E03ED" w:rsidRDefault="003C5A54" w:rsidP="001C5817">
      <w:pPr>
        <w:pStyle w:val="a3"/>
        <w:ind w:firstLine="709"/>
        <w:jc w:val="both"/>
        <w:rPr>
          <w:bCs/>
          <w:sz w:val="28"/>
          <w:szCs w:val="28"/>
        </w:rPr>
      </w:pPr>
      <w:r w:rsidRPr="006E03ED">
        <w:rPr>
          <w:bCs/>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3C5A54" w:rsidRPr="003C5A54" w:rsidRDefault="003C5A54" w:rsidP="003C5A54">
      <w:pPr>
        <w:pStyle w:val="a3"/>
        <w:ind w:firstLine="709"/>
        <w:jc w:val="both"/>
        <w:rPr>
          <w:bCs/>
          <w:i/>
          <w:sz w:val="28"/>
          <w:szCs w:val="28"/>
        </w:rPr>
      </w:pPr>
      <w:r w:rsidRPr="003C5A54">
        <w:rPr>
          <w:bCs/>
          <w:i/>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3C5A54" w:rsidRPr="003C5A54" w:rsidRDefault="003C5A54" w:rsidP="003C5A54">
      <w:pPr>
        <w:pStyle w:val="a3"/>
        <w:ind w:firstLine="709"/>
        <w:jc w:val="both"/>
        <w:rPr>
          <w:bCs/>
          <w:i/>
          <w:sz w:val="28"/>
          <w:szCs w:val="28"/>
        </w:rPr>
      </w:pPr>
      <w:r w:rsidRPr="003C5A54">
        <w:rPr>
          <w:bCs/>
          <w:i/>
          <w:sz w:val="28"/>
          <w:szCs w:val="28"/>
        </w:rPr>
        <w:t>- реформа тарифного регулирования;</w:t>
      </w:r>
    </w:p>
    <w:p w:rsidR="003C5A54" w:rsidRPr="003C5A54" w:rsidRDefault="003C5A54" w:rsidP="003C5A54">
      <w:pPr>
        <w:pStyle w:val="a3"/>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3C5A54" w:rsidRPr="003C5A54" w:rsidRDefault="003C5A54" w:rsidP="003C5A54">
      <w:pPr>
        <w:pStyle w:val="a3"/>
        <w:ind w:firstLine="709"/>
        <w:jc w:val="both"/>
        <w:rPr>
          <w:bCs/>
          <w:i/>
          <w:sz w:val="28"/>
          <w:szCs w:val="28"/>
        </w:rPr>
      </w:pPr>
      <w:r w:rsidRPr="003C5A54">
        <w:rPr>
          <w:bCs/>
          <w:i/>
          <w:sz w:val="28"/>
          <w:szCs w:val="28"/>
        </w:rPr>
        <w:lastRenderedPageBreak/>
        <w:t>- поддержка предпринимательской инициативы, включая развитие малого и среднего бизнеса.</w:t>
      </w:r>
    </w:p>
    <w:p w:rsidR="003C5A54" w:rsidRPr="006E03ED" w:rsidRDefault="003C5A54" w:rsidP="003C5A54">
      <w:pPr>
        <w:pStyle w:val="a3"/>
        <w:ind w:firstLine="709"/>
        <w:jc w:val="both"/>
        <w:rPr>
          <w:bCs/>
          <w:sz w:val="28"/>
          <w:szCs w:val="28"/>
        </w:rPr>
      </w:pPr>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3C5A54" w:rsidRPr="006E03ED" w:rsidRDefault="003C5A54" w:rsidP="003C5A54">
      <w:pPr>
        <w:pStyle w:val="a3"/>
        <w:ind w:firstLine="709"/>
        <w:jc w:val="both"/>
        <w:rPr>
          <w:bCs/>
          <w:sz w:val="28"/>
          <w:szCs w:val="28"/>
        </w:rPr>
      </w:pPr>
      <w:r w:rsidRPr="006E03ED">
        <w:rPr>
          <w:bCs/>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3C5A54" w:rsidRPr="006E03ED" w:rsidRDefault="003C5A54" w:rsidP="003C5A54">
      <w:pPr>
        <w:pStyle w:val="a3"/>
        <w:ind w:firstLine="709"/>
        <w:jc w:val="both"/>
        <w:rPr>
          <w:bCs/>
          <w:sz w:val="28"/>
          <w:szCs w:val="28"/>
        </w:rPr>
      </w:pPr>
      <w:r w:rsidRPr="006E03ED">
        <w:rPr>
          <w:bCs/>
          <w:sz w:val="28"/>
          <w:szCs w:val="28"/>
        </w:rPr>
        <w:t xml:space="preserve">Указ закрепляет цифровые параметры ожидаемых результатов в отдельных отраслях экономики. </w:t>
      </w:r>
    </w:p>
    <w:p w:rsidR="003C5A54" w:rsidRPr="006E03ED" w:rsidRDefault="003C5A54" w:rsidP="003C5A54">
      <w:pPr>
        <w:pStyle w:val="a3"/>
        <w:ind w:firstLine="709"/>
        <w:jc w:val="both"/>
        <w:rPr>
          <w:bCs/>
          <w:sz w:val="28"/>
          <w:szCs w:val="28"/>
        </w:rPr>
      </w:pPr>
      <w:r w:rsidRPr="006E03ED">
        <w:rPr>
          <w:bCs/>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3C5A54" w:rsidRPr="006E03ED" w:rsidRDefault="003C5A54" w:rsidP="003C5A54">
      <w:pPr>
        <w:pStyle w:val="a3"/>
        <w:ind w:firstLine="709"/>
        <w:jc w:val="both"/>
        <w:rPr>
          <w:bCs/>
          <w:sz w:val="28"/>
          <w:szCs w:val="28"/>
        </w:rPr>
      </w:pPr>
      <w:r w:rsidRPr="006E03ED">
        <w:rPr>
          <w:bCs/>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3C5A54" w:rsidRPr="006E03ED" w:rsidRDefault="003C5A54" w:rsidP="003C5A54">
      <w:pPr>
        <w:pStyle w:val="a3"/>
        <w:ind w:firstLine="709"/>
        <w:jc w:val="both"/>
        <w:rPr>
          <w:bCs/>
          <w:sz w:val="28"/>
          <w:szCs w:val="28"/>
        </w:rPr>
      </w:pPr>
      <w:r w:rsidRPr="006E03ED">
        <w:rPr>
          <w:bCs/>
          <w:sz w:val="28"/>
          <w:szCs w:val="28"/>
        </w:rPr>
        <w:t>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организаций в процесс реализации государственной политики по развитию конкуренции.</w:t>
      </w:r>
    </w:p>
    <w:p w:rsidR="003C5A54" w:rsidRPr="006E03ED" w:rsidRDefault="003C5A54" w:rsidP="003C5A54">
      <w:pPr>
        <w:pStyle w:val="a3"/>
        <w:ind w:firstLine="709"/>
        <w:jc w:val="both"/>
        <w:rPr>
          <w:bCs/>
          <w:sz w:val="28"/>
          <w:szCs w:val="28"/>
        </w:rPr>
      </w:pPr>
      <w:r w:rsidRPr="006E03ED">
        <w:rPr>
          <w:bCs/>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1C5817" w:rsidRPr="006E03ED" w:rsidRDefault="001C5817" w:rsidP="001C5817">
      <w:pPr>
        <w:pStyle w:val="a3"/>
        <w:ind w:firstLine="709"/>
        <w:jc w:val="both"/>
        <w:rPr>
          <w:b/>
          <w:bCs/>
          <w:sz w:val="28"/>
          <w:szCs w:val="28"/>
        </w:rPr>
      </w:pPr>
      <w:r w:rsidRPr="006E03ED">
        <w:rPr>
          <w:b/>
          <w:bCs/>
          <w:sz w:val="28"/>
          <w:szCs w:val="28"/>
        </w:rPr>
        <w:t xml:space="preserve">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w:t>
      </w:r>
      <w:r w:rsidRPr="006E03ED">
        <w:rPr>
          <w:b/>
          <w:bCs/>
          <w:sz w:val="28"/>
          <w:szCs w:val="28"/>
        </w:rPr>
        <w:lastRenderedPageBreak/>
        <w:t>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1C5817" w:rsidRPr="006E03ED" w:rsidRDefault="001C5817" w:rsidP="001C5817">
      <w:pPr>
        <w:pStyle w:val="a3"/>
        <w:ind w:firstLine="709"/>
        <w:jc w:val="both"/>
        <w:rPr>
          <w:bCs/>
          <w:sz w:val="28"/>
          <w:szCs w:val="28"/>
        </w:rPr>
      </w:pPr>
      <w:r w:rsidRPr="006E03ED">
        <w:rPr>
          <w:bCs/>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1C5817" w:rsidRPr="006E03ED" w:rsidRDefault="001C5817" w:rsidP="001C5817">
      <w:pPr>
        <w:pStyle w:val="a3"/>
        <w:ind w:firstLine="709"/>
        <w:jc w:val="both"/>
        <w:rPr>
          <w:bCs/>
          <w:sz w:val="28"/>
          <w:szCs w:val="28"/>
        </w:rPr>
      </w:pPr>
      <w:r w:rsidRPr="006E03ED">
        <w:rPr>
          <w:bCs/>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411B1" w:rsidRPr="006E03ED" w:rsidRDefault="00B411B1" w:rsidP="001C5817">
      <w:pPr>
        <w:pStyle w:val="a3"/>
        <w:ind w:firstLine="709"/>
        <w:jc w:val="both"/>
        <w:rPr>
          <w:bCs/>
          <w:sz w:val="28"/>
          <w:szCs w:val="28"/>
        </w:rPr>
      </w:pPr>
      <w:r w:rsidRPr="006E03ED">
        <w:rPr>
          <w:bCs/>
          <w:sz w:val="28"/>
          <w:szCs w:val="28"/>
        </w:rPr>
        <w:t>В качестве основных изменений, введенных Законом № 275-ФЗ можно выделить следующее:</w:t>
      </w:r>
    </w:p>
    <w:p w:rsidR="00B411B1" w:rsidRPr="006E03ED" w:rsidRDefault="00B411B1" w:rsidP="003C5A54">
      <w:pPr>
        <w:pStyle w:val="a3"/>
        <w:ind w:firstLine="709"/>
        <w:jc w:val="both"/>
        <w:rPr>
          <w:b/>
          <w:sz w:val="28"/>
          <w:szCs w:val="28"/>
        </w:rPr>
      </w:pPr>
      <w:r w:rsidRPr="006E03ED">
        <w:rPr>
          <w:b/>
          <w:sz w:val="28"/>
          <w:szCs w:val="28"/>
        </w:rPr>
        <w:t>1.</w:t>
      </w:r>
      <w:r w:rsidRPr="006E03ED">
        <w:rPr>
          <w:sz w:val="28"/>
          <w:szCs w:val="28"/>
        </w:rPr>
        <w:t xml:space="preserve"> </w:t>
      </w:r>
      <w:r w:rsidRPr="006E03ED">
        <w:rPr>
          <w:b/>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B411B1" w:rsidRPr="006E03ED" w:rsidRDefault="00B411B1" w:rsidP="003C5A54">
      <w:pPr>
        <w:pStyle w:val="a3"/>
        <w:ind w:firstLine="709"/>
        <w:jc w:val="both"/>
        <w:rPr>
          <w:bCs/>
          <w:sz w:val="28"/>
          <w:szCs w:val="28"/>
        </w:rPr>
      </w:pPr>
      <w:r w:rsidRPr="006E03ED">
        <w:rPr>
          <w:bCs/>
          <w:sz w:val="28"/>
          <w:szCs w:val="28"/>
        </w:rPr>
        <w:t xml:space="preserve">Законом № 275 статья 3 </w:t>
      </w:r>
      <w:hyperlink r:id="rId9" w:history="1">
        <w:r w:rsidRPr="006E03ED">
          <w:rPr>
            <w:bCs/>
          </w:rPr>
          <w:t>ч. 6.1 ст. 5</w:t>
        </w:r>
      </w:hyperlink>
      <w:r w:rsidRPr="006E03ED">
        <w:rPr>
          <w:bCs/>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B411B1" w:rsidRPr="006E03ED" w:rsidRDefault="00B411B1" w:rsidP="003C5A54">
      <w:pPr>
        <w:pStyle w:val="a3"/>
        <w:ind w:firstLine="709"/>
        <w:jc w:val="both"/>
        <w:rPr>
          <w:sz w:val="28"/>
          <w:szCs w:val="28"/>
        </w:rPr>
      </w:pPr>
      <w:r w:rsidRPr="006E03ED">
        <w:rPr>
          <w:b/>
          <w:sz w:val="28"/>
          <w:szCs w:val="28"/>
        </w:rPr>
        <w:t>2.</w:t>
      </w:r>
      <w:r w:rsidRPr="006E03ED">
        <w:rPr>
          <w:b/>
          <w:bCs/>
          <w:sz w:val="28"/>
          <w:szCs w:val="28"/>
        </w:rPr>
        <w:t xml:space="preserve"> Сокращение административных ограничений субъектов предпринимательской деятельности</w:t>
      </w:r>
    </w:p>
    <w:p w:rsidR="00B411B1" w:rsidRPr="006E03ED" w:rsidRDefault="00B411B1" w:rsidP="003C5A54">
      <w:pPr>
        <w:pStyle w:val="a3"/>
        <w:ind w:firstLine="709"/>
        <w:jc w:val="both"/>
        <w:rPr>
          <w:bCs/>
          <w:sz w:val="28"/>
          <w:szCs w:val="28"/>
        </w:rPr>
      </w:pPr>
      <w:r w:rsidRPr="006E03ED">
        <w:rPr>
          <w:bCs/>
          <w:sz w:val="28"/>
          <w:szCs w:val="28"/>
        </w:rPr>
        <w:t xml:space="preserve">В соответствии с положениями </w:t>
      </w:r>
      <w:hyperlink r:id="rId10" w:history="1">
        <w:r w:rsidRPr="006E03ED">
          <w:rPr>
            <w:bCs/>
          </w:rPr>
          <w:t>Закон</w:t>
        </w:r>
      </w:hyperlink>
      <w:r w:rsidRPr="006E03ED">
        <w:rPr>
          <w:bCs/>
          <w:sz w:val="28"/>
          <w:szCs w:val="28"/>
        </w:rPr>
        <w:t xml:space="preserve">а № 275-ФЗ утратила силу </w:t>
      </w:r>
      <w:hyperlink r:id="rId11" w:history="1">
        <w:r w:rsidRPr="003732E8">
          <w:rPr>
            <w:bCs/>
            <w:sz w:val="28"/>
            <w:szCs w:val="28"/>
          </w:rPr>
          <w:t>часть 6.1 статьи 5</w:t>
        </w:r>
      </w:hyperlink>
      <w:r w:rsidRPr="006E03ED">
        <w:rPr>
          <w:bCs/>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B411B1" w:rsidRPr="006E03ED" w:rsidRDefault="00B411B1" w:rsidP="003C5A54">
      <w:pPr>
        <w:pStyle w:val="a3"/>
        <w:ind w:firstLine="709"/>
        <w:jc w:val="both"/>
        <w:rPr>
          <w:bCs/>
          <w:sz w:val="28"/>
          <w:szCs w:val="28"/>
        </w:rPr>
      </w:pPr>
      <w:r w:rsidRPr="006E03ED">
        <w:rPr>
          <w:bCs/>
          <w:sz w:val="28"/>
          <w:szCs w:val="28"/>
        </w:rPr>
        <w:t xml:space="preserve">Кроме того, </w:t>
      </w:r>
      <w:hyperlink r:id="rId12" w:history="1">
        <w:r w:rsidRPr="006E03ED">
          <w:rPr>
            <w:bCs/>
          </w:rPr>
          <w:t>Закон</w:t>
        </w:r>
      </w:hyperlink>
      <w:r w:rsidRPr="006E03ED">
        <w:rPr>
          <w:bCs/>
          <w:sz w:val="28"/>
          <w:szCs w:val="28"/>
        </w:rPr>
        <w:t xml:space="preserve">ом № 275-ФЗ внесены изменения в </w:t>
      </w:r>
      <w:hyperlink r:id="rId13" w:history="1">
        <w:r w:rsidRPr="00E72C61">
          <w:rPr>
            <w:bCs/>
            <w:sz w:val="28"/>
            <w:szCs w:val="28"/>
          </w:rPr>
          <w:t>ч. 1 ст. 10</w:t>
        </w:r>
      </w:hyperlink>
      <w:r w:rsidRPr="006E03ED">
        <w:rPr>
          <w:bCs/>
          <w:sz w:val="28"/>
          <w:szCs w:val="28"/>
        </w:rPr>
        <w:t xml:space="preserve"> Закона о защите конкуренции, которые предусматривают исключение действий </w:t>
      </w:r>
      <w:r w:rsidRPr="006E03ED">
        <w:rPr>
          <w:bCs/>
          <w:sz w:val="28"/>
          <w:szCs w:val="28"/>
        </w:rPr>
        <w:lastRenderedPageBreak/>
        <w:t>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B411B1" w:rsidRPr="006E03ED" w:rsidRDefault="00B411B1" w:rsidP="003C5A54">
      <w:pPr>
        <w:pStyle w:val="a3"/>
        <w:ind w:firstLine="709"/>
        <w:jc w:val="both"/>
        <w:rPr>
          <w:bCs/>
          <w:sz w:val="28"/>
          <w:szCs w:val="28"/>
        </w:rPr>
      </w:pPr>
      <w:r w:rsidRPr="006E03ED">
        <w:rPr>
          <w:bCs/>
          <w:sz w:val="28"/>
          <w:szCs w:val="28"/>
        </w:rPr>
        <w:t xml:space="preserve">Также </w:t>
      </w:r>
      <w:hyperlink r:id="rId14" w:history="1">
        <w:r w:rsidRPr="00E72C61">
          <w:rPr>
            <w:bCs/>
            <w:sz w:val="28"/>
            <w:szCs w:val="28"/>
          </w:rPr>
          <w:t>Закон</w:t>
        </w:r>
      </w:hyperlink>
      <w:r w:rsidRPr="006E03ED">
        <w:rPr>
          <w:bCs/>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B411B1" w:rsidRPr="006E03ED" w:rsidRDefault="00B411B1" w:rsidP="003C5A54">
      <w:pPr>
        <w:pStyle w:val="a3"/>
        <w:ind w:firstLine="709"/>
        <w:jc w:val="both"/>
        <w:rPr>
          <w:sz w:val="28"/>
          <w:szCs w:val="28"/>
        </w:rPr>
      </w:pPr>
      <w:r w:rsidRPr="006E03ED">
        <w:rPr>
          <w:b/>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B411B1" w:rsidRPr="006E03ED" w:rsidRDefault="00DD429A" w:rsidP="003C5A54">
      <w:pPr>
        <w:pStyle w:val="a3"/>
        <w:ind w:firstLine="709"/>
        <w:jc w:val="both"/>
        <w:rPr>
          <w:bCs/>
          <w:sz w:val="28"/>
          <w:szCs w:val="28"/>
        </w:rPr>
      </w:pPr>
      <w:hyperlink r:id="rId15" w:history="1">
        <w:r w:rsidR="00B411B1" w:rsidRPr="00E72C61">
          <w:rPr>
            <w:bCs/>
            <w:sz w:val="28"/>
            <w:szCs w:val="28"/>
          </w:rPr>
          <w:t>Законом</w:t>
        </w:r>
      </w:hyperlink>
      <w:r w:rsidR="00B411B1" w:rsidRPr="006E03ED">
        <w:rPr>
          <w:bCs/>
          <w:sz w:val="28"/>
          <w:szCs w:val="28"/>
        </w:rPr>
        <w:t xml:space="preserve"> № 275-ФЗ внесены изменения в </w:t>
      </w:r>
      <w:hyperlink r:id="rId16" w:history="1">
        <w:r w:rsidR="00B411B1" w:rsidRPr="00E72C61">
          <w:rPr>
            <w:bCs/>
            <w:sz w:val="28"/>
            <w:szCs w:val="28"/>
          </w:rPr>
          <w:t>статью 14.9</w:t>
        </w:r>
      </w:hyperlink>
      <w:r w:rsidR="00B411B1" w:rsidRPr="006E03ED">
        <w:rPr>
          <w:bCs/>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B411B1" w:rsidRPr="006E03ED" w:rsidRDefault="00B411B1" w:rsidP="003C5A54">
      <w:pPr>
        <w:pStyle w:val="a3"/>
        <w:ind w:firstLine="709"/>
        <w:jc w:val="both"/>
        <w:rPr>
          <w:sz w:val="28"/>
          <w:szCs w:val="28"/>
        </w:rPr>
      </w:pPr>
      <w:r w:rsidRPr="006E03ED">
        <w:rPr>
          <w:b/>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B411B1" w:rsidRPr="006E03ED" w:rsidRDefault="00DD429A" w:rsidP="003C5A54">
      <w:pPr>
        <w:pStyle w:val="a3"/>
        <w:ind w:firstLine="709"/>
        <w:jc w:val="both"/>
        <w:rPr>
          <w:bCs/>
          <w:sz w:val="28"/>
          <w:szCs w:val="28"/>
        </w:rPr>
      </w:pPr>
      <w:hyperlink r:id="rId17" w:history="1">
        <w:r w:rsidR="00B411B1" w:rsidRPr="006E03ED">
          <w:rPr>
            <w:bCs/>
            <w:sz w:val="28"/>
            <w:szCs w:val="28"/>
          </w:rPr>
          <w:t>Законом</w:t>
        </w:r>
      </w:hyperlink>
      <w:r w:rsidR="00B411B1" w:rsidRPr="006E03ED">
        <w:rPr>
          <w:bCs/>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B411B1" w:rsidRPr="006E03ED" w:rsidRDefault="00B411B1" w:rsidP="003C5A54">
      <w:pPr>
        <w:pStyle w:val="a3"/>
        <w:ind w:firstLine="709"/>
        <w:jc w:val="both"/>
        <w:rPr>
          <w:b/>
          <w:sz w:val="28"/>
          <w:szCs w:val="28"/>
        </w:rPr>
      </w:pPr>
      <w:r w:rsidRPr="006E03ED">
        <w:rPr>
          <w:b/>
          <w:sz w:val="28"/>
          <w:szCs w:val="28"/>
        </w:rPr>
        <w:t>5. Совершенствование законодательства в части противодействия антиконкурентным соглашениям</w:t>
      </w:r>
    </w:p>
    <w:p w:rsidR="00B411B1" w:rsidRPr="006E03ED" w:rsidRDefault="00B411B1" w:rsidP="003C5A54">
      <w:pPr>
        <w:pStyle w:val="a3"/>
        <w:ind w:firstLine="709"/>
        <w:jc w:val="both"/>
        <w:rPr>
          <w:bCs/>
          <w:sz w:val="28"/>
          <w:szCs w:val="28"/>
        </w:rPr>
      </w:pPr>
      <w:r w:rsidRPr="006E03ED">
        <w:rPr>
          <w:bCs/>
          <w:sz w:val="28"/>
          <w:szCs w:val="28"/>
        </w:rPr>
        <w:t xml:space="preserve">Существенные изменения заключаются в дополнение признаков наиболее опасного антиконкурентного соглашения – картель. В частности, </w:t>
      </w:r>
      <w:r w:rsidRPr="006E03ED">
        <w:rPr>
          <w:bCs/>
          <w:sz w:val="28"/>
          <w:szCs w:val="28"/>
        </w:rPr>
        <w:lastRenderedPageBreak/>
        <w:t>поправками уточнено, что к таким соглашениям относятся не только картель продавцов, но и картель покупателей.</w:t>
      </w:r>
    </w:p>
    <w:p w:rsidR="00B411B1" w:rsidRPr="006E03ED" w:rsidRDefault="00B411B1" w:rsidP="003C5A54">
      <w:pPr>
        <w:pStyle w:val="a3"/>
        <w:ind w:firstLine="709"/>
        <w:jc w:val="both"/>
        <w:rPr>
          <w:b/>
          <w:sz w:val="28"/>
          <w:szCs w:val="28"/>
        </w:rPr>
      </w:pPr>
      <w:r w:rsidRPr="006E03ED">
        <w:rPr>
          <w:b/>
          <w:sz w:val="28"/>
          <w:szCs w:val="28"/>
        </w:rPr>
        <w:t>6. Развитие законодательства о пресечении недобросовестной конкуренции</w:t>
      </w:r>
    </w:p>
    <w:p w:rsidR="00B411B1" w:rsidRPr="006E03ED" w:rsidRDefault="00B411B1" w:rsidP="003C5A54">
      <w:pPr>
        <w:pStyle w:val="a3"/>
        <w:ind w:firstLine="709"/>
        <w:jc w:val="both"/>
        <w:rPr>
          <w:bCs/>
          <w:sz w:val="28"/>
          <w:szCs w:val="28"/>
        </w:rPr>
      </w:pPr>
      <w:r w:rsidRPr="006E03ED">
        <w:rPr>
          <w:bCs/>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B411B1" w:rsidRPr="006E03ED" w:rsidRDefault="00B411B1" w:rsidP="003C5A54">
      <w:pPr>
        <w:pStyle w:val="a3"/>
        <w:ind w:firstLine="709"/>
        <w:jc w:val="both"/>
        <w:rPr>
          <w:bCs/>
          <w:sz w:val="28"/>
          <w:szCs w:val="28"/>
        </w:rPr>
      </w:pPr>
      <w:r w:rsidRPr="006E03ED">
        <w:rPr>
          <w:bCs/>
          <w:sz w:val="28"/>
          <w:szCs w:val="28"/>
        </w:rPr>
        <w:t>Указанная глава заменила собой статью 14 Закона о защите конкуренции, признанную утратившей силу с введением поправок.</w:t>
      </w:r>
    </w:p>
    <w:p w:rsidR="00B411B1" w:rsidRPr="006E03ED" w:rsidRDefault="00B411B1" w:rsidP="003C5A54">
      <w:pPr>
        <w:pStyle w:val="a3"/>
        <w:ind w:firstLine="709"/>
        <w:jc w:val="both"/>
        <w:rPr>
          <w:bCs/>
          <w:sz w:val="28"/>
          <w:szCs w:val="28"/>
        </w:rPr>
      </w:pPr>
      <w:r w:rsidRPr="006E03ED">
        <w:rPr>
          <w:bCs/>
          <w:sz w:val="28"/>
          <w:szCs w:val="28"/>
        </w:rPr>
        <w:t>Указанно изменение направлено на существенно повышение эффективности пресечения недобросовестной конкуренции.</w:t>
      </w:r>
    </w:p>
    <w:p w:rsidR="00B411B1" w:rsidRPr="006E03ED" w:rsidRDefault="00B411B1" w:rsidP="003C5A54">
      <w:pPr>
        <w:pStyle w:val="a3"/>
        <w:ind w:firstLine="709"/>
        <w:jc w:val="both"/>
        <w:rPr>
          <w:b/>
          <w:sz w:val="28"/>
          <w:szCs w:val="28"/>
        </w:rPr>
      </w:pPr>
      <w:r w:rsidRPr="006E03ED">
        <w:rPr>
          <w:b/>
          <w:sz w:val="28"/>
          <w:szCs w:val="28"/>
        </w:rPr>
        <w:t>7. Расширение институтов предупреждения и предостережения.</w:t>
      </w:r>
    </w:p>
    <w:p w:rsidR="00B411B1" w:rsidRPr="006E03ED" w:rsidRDefault="00B411B1" w:rsidP="00DC7159">
      <w:pPr>
        <w:pStyle w:val="a3"/>
        <w:ind w:firstLine="709"/>
        <w:jc w:val="both"/>
        <w:rPr>
          <w:bCs/>
          <w:sz w:val="28"/>
          <w:szCs w:val="28"/>
        </w:rPr>
      </w:pPr>
      <w:r w:rsidRPr="006E03ED">
        <w:rPr>
          <w:bCs/>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411B1" w:rsidRPr="006E03ED" w:rsidRDefault="00B411B1" w:rsidP="00DC7159">
      <w:pPr>
        <w:pStyle w:val="a3"/>
        <w:ind w:firstLine="709"/>
        <w:jc w:val="both"/>
        <w:rPr>
          <w:bCs/>
          <w:sz w:val="28"/>
          <w:szCs w:val="28"/>
        </w:rPr>
      </w:pPr>
      <w:r w:rsidRPr="006E03ED">
        <w:rPr>
          <w:bCs/>
          <w:sz w:val="28"/>
          <w:szCs w:val="28"/>
        </w:rPr>
        <w:t>Значительно расширен перечень оснований для выдачи предупреждения.</w:t>
      </w:r>
    </w:p>
    <w:p w:rsidR="00B411B1" w:rsidRPr="006E03ED" w:rsidRDefault="00B411B1" w:rsidP="00DC7159">
      <w:pPr>
        <w:pStyle w:val="a3"/>
        <w:ind w:firstLine="709"/>
        <w:jc w:val="both"/>
        <w:rPr>
          <w:bCs/>
          <w:sz w:val="28"/>
          <w:szCs w:val="28"/>
        </w:rPr>
      </w:pPr>
      <w:r w:rsidRPr="006E03ED">
        <w:rPr>
          <w:bCs/>
          <w:sz w:val="28"/>
          <w:szCs w:val="28"/>
        </w:rPr>
        <w:t>Необходимо учитывать, что принятие антимонопольным органом решения о возбуждении дела о нарушении указанных в Законе пунктов (статей) Закона  о защите конкуренции без вынесения предупреждения и до завершения срока его выполнения не допускается.</w:t>
      </w:r>
    </w:p>
    <w:p w:rsidR="00B411B1" w:rsidRPr="006E03ED" w:rsidRDefault="00B411B1" w:rsidP="00DC7159">
      <w:pPr>
        <w:pStyle w:val="a3"/>
        <w:ind w:firstLine="709"/>
        <w:jc w:val="both"/>
        <w:rPr>
          <w:bCs/>
          <w:sz w:val="28"/>
          <w:szCs w:val="28"/>
        </w:rPr>
      </w:pPr>
      <w:r w:rsidRPr="006E03ED">
        <w:rPr>
          <w:bCs/>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B411B1" w:rsidRPr="006E03ED" w:rsidRDefault="00B411B1" w:rsidP="003C5A54">
      <w:pPr>
        <w:pStyle w:val="a3"/>
        <w:ind w:firstLine="709"/>
        <w:jc w:val="both"/>
        <w:rPr>
          <w:bCs/>
          <w:sz w:val="28"/>
          <w:szCs w:val="28"/>
        </w:rPr>
      </w:pPr>
      <w:r w:rsidRPr="006E03ED">
        <w:rPr>
          <w:bCs/>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w:t>
      </w:r>
      <w:r w:rsidRPr="006E03ED">
        <w:rPr>
          <w:bCs/>
          <w:sz w:val="28"/>
          <w:szCs w:val="28"/>
        </w:rPr>
        <w:lastRenderedPageBreak/>
        <w:t xml:space="preserve">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B411B1" w:rsidRPr="006E03ED" w:rsidRDefault="00B411B1" w:rsidP="003C5A54">
      <w:pPr>
        <w:pStyle w:val="a3"/>
        <w:ind w:firstLine="709"/>
        <w:jc w:val="both"/>
        <w:rPr>
          <w:b/>
          <w:sz w:val="28"/>
          <w:szCs w:val="28"/>
        </w:rPr>
      </w:pPr>
      <w:r w:rsidRPr="006E03ED">
        <w:rPr>
          <w:b/>
          <w:sz w:val="28"/>
          <w:szCs w:val="28"/>
        </w:rPr>
        <w:t>8. Согласование с антимонопольным органом соглашений о совместной деятельности, заключаемых между конкурентами</w:t>
      </w:r>
    </w:p>
    <w:p w:rsidR="00B411B1" w:rsidRPr="006E03ED" w:rsidRDefault="00B411B1" w:rsidP="003C5A54">
      <w:pPr>
        <w:pStyle w:val="a3"/>
        <w:ind w:firstLine="709"/>
        <w:jc w:val="both"/>
        <w:rPr>
          <w:bCs/>
          <w:sz w:val="28"/>
          <w:szCs w:val="28"/>
        </w:rPr>
      </w:pPr>
      <w:r w:rsidRPr="006E03ED">
        <w:rPr>
          <w:bCs/>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B411B1" w:rsidRPr="006E03ED" w:rsidRDefault="00B411B1" w:rsidP="003C5A54">
      <w:pPr>
        <w:pStyle w:val="a3"/>
        <w:ind w:firstLine="709"/>
        <w:jc w:val="both"/>
        <w:rPr>
          <w:bCs/>
          <w:sz w:val="28"/>
          <w:szCs w:val="28"/>
        </w:rPr>
      </w:pPr>
      <w:r w:rsidRPr="006E03ED">
        <w:rPr>
          <w:bCs/>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8" w:history="1">
        <w:r w:rsidRPr="006605A1">
          <w:rPr>
            <w:bCs/>
            <w:sz w:val="28"/>
            <w:szCs w:val="28"/>
          </w:rPr>
          <w:t>статьей 35</w:t>
        </w:r>
      </w:hyperlink>
      <w:r w:rsidRPr="006E03ED">
        <w:rPr>
          <w:bCs/>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411B1" w:rsidRPr="006E03ED" w:rsidRDefault="00B411B1" w:rsidP="003C5A54">
      <w:pPr>
        <w:pStyle w:val="a3"/>
        <w:ind w:firstLine="709"/>
        <w:jc w:val="both"/>
        <w:rPr>
          <w:b/>
          <w:sz w:val="28"/>
          <w:szCs w:val="28"/>
        </w:rPr>
      </w:pPr>
      <w:r w:rsidRPr="006E03ED">
        <w:rPr>
          <w:b/>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lastRenderedPageBreak/>
        <w:t>В Закон о защите конкуренции введены положения об обязательности проведения антимонопольным органом анализ</w:t>
      </w:r>
      <w:bookmarkStart w:id="0" w:name="_GoBack"/>
      <w:bookmarkEnd w:id="0"/>
      <w:r w:rsidRPr="006E03ED">
        <w:rPr>
          <w:bCs/>
          <w:sz w:val="28"/>
          <w:szCs w:val="28"/>
        </w:rPr>
        <w:t>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B411B1" w:rsidRPr="006E03ED" w:rsidRDefault="00B411B1" w:rsidP="003C5A54">
      <w:pPr>
        <w:pStyle w:val="a3"/>
        <w:ind w:firstLine="709"/>
        <w:jc w:val="both"/>
        <w:rPr>
          <w:bCs/>
          <w:sz w:val="28"/>
          <w:szCs w:val="28"/>
        </w:rPr>
      </w:pPr>
      <w:r w:rsidRPr="006E03ED">
        <w:rPr>
          <w:bCs/>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B411B1" w:rsidRPr="006E03ED" w:rsidRDefault="00B411B1" w:rsidP="006E03ED">
      <w:pPr>
        <w:pStyle w:val="a3"/>
        <w:ind w:firstLine="709"/>
        <w:rPr>
          <w:b/>
          <w:sz w:val="28"/>
          <w:szCs w:val="28"/>
        </w:rPr>
      </w:pPr>
      <w:r w:rsidRPr="006E03ED">
        <w:rPr>
          <w:b/>
          <w:sz w:val="28"/>
          <w:szCs w:val="28"/>
        </w:rPr>
        <w:t>«Антикризисный закон»</w:t>
      </w:r>
      <w:r w:rsidR="006E03ED" w:rsidRPr="006E03ED">
        <w:rPr>
          <w:b/>
          <w:sz w:val="28"/>
          <w:szCs w:val="28"/>
        </w:rPr>
        <w:t>.</w:t>
      </w:r>
    </w:p>
    <w:p w:rsidR="00B411B1" w:rsidRPr="006E03ED" w:rsidRDefault="00B411B1" w:rsidP="001C5817">
      <w:pPr>
        <w:pStyle w:val="a3"/>
        <w:ind w:firstLine="709"/>
        <w:jc w:val="both"/>
        <w:rPr>
          <w:bCs/>
          <w:sz w:val="28"/>
          <w:szCs w:val="28"/>
        </w:rPr>
      </w:pPr>
      <w:r w:rsidRPr="006E03ED">
        <w:rPr>
          <w:bCs/>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B411B1" w:rsidRPr="006E03ED" w:rsidRDefault="00B411B1" w:rsidP="001C5817">
      <w:pPr>
        <w:pStyle w:val="a3"/>
        <w:ind w:firstLine="709"/>
        <w:jc w:val="both"/>
        <w:rPr>
          <w:bCs/>
          <w:sz w:val="28"/>
          <w:szCs w:val="28"/>
        </w:rPr>
      </w:pPr>
      <w:r w:rsidRPr="006E03ED">
        <w:rPr>
          <w:bCs/>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B411B1" w:rsidRPr="006E03ED" w:rsidRDefault="00B411B1" w:rsidP="00DC7159">
      <w:pPr>
        <w:pStyle w:val="a3"/>
        <w:ind w:firstLine="709"/>
        <w:jc w:val="both"/>
        <w:rPr>
          <w:bCs/>
          <w:sz w:val="28"/>
          <w:szCs w:val="28"/>
        </w:rPr>
      </w:pPr>
      <w:r w:rsidRPr="006E03ED">
        <w:rPr>
          <w:bCs/>
          <w:sz w:val="28"/>
          <w:szCs w:val="28"/>
        </w:rPr>
        <w:t>Закон № 264-ФЗ предусматривает:</w:t>
      </w:r>
    </w:p>
    <w:p w:rsidR="00B411B1" w:rsidRPr="006E03ED" w:rsidRDefault="006E03ED" w:rsidP="00DC7159">
      <w:pPr>
        <w:pStyle w:val="a3"/>
        <w:ind w:firstLine="709"/>
        <w:jc w:val="both"/>
        <w:rPr>
          <w:bCs/>
          <w:sz w:val="28"/>
          <w:szCs w:val="28"/>
        </w:rPr>
      </w:pPr>
      <w:r>
        <w:rPr>
          <w:bCs/>
          <w:sz w:val="28"/>
          <w:szCs w:val="28"/>
        </w:rPr>
        <w:t xml:space="preserve">1. </w:t>
      </w:r>
      <w:r w:rsidR="00B411B1" w:rsidRPr="006E03ED">
        <w:rPr>
          <w:bCs/>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B411B1" w:rsidRPr="006E03ED" w:rsidRDefault="00B411B1" w:rsidP="00DC7159">
      <w:pPr>
        <w:pStyle w:val="a3"/>
        <w:ind w:firstLine="709"/>
        <w:jc w:val="both"/>
        <w:rPr>
          <w:bCs/>
          <w:sz w:val="28"/>
          <w:szCs w:val="28"/>
        </w:rPr>
      </w:pPr>
      <w:r w:rsidRPr="006E03ED">
        <w:rPr>
          <w:bCs/>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B411B1" w:rsidRPr="006E03ED" w:rsidRDefault="00B411B1" w:rsidP="00DC7159">
      <w:pPr>
        <w:pStyle w:val="a3"/>
        <w:ind w:firstLine="709"/>
        <w:jc w:val="both"/>
        <w:rPr>
          <w:bCs/>
          <w:sz w:val="28"/>
          <w:szCs w:val="28"/>
        </w:rPr>
      </w:pPr>
      <w:r w:rsidRPr="006E03ED">
        <w:rPr>
          <w:bCs/>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lastRenderedPageBreak/>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411B1" w:rsidRPr="006E03ED" w:rsidRDefault="00B411B1" w:rsidP="00DC7159">
      <w:pPr>
        <w:pStyle w:val="a3"/>
        <w:ind w:firstLine="709"/>
        <w:jc w:val="both"/>
        <w:rPr>
          <w:bCs/>
          <w:sz w:val="28"/>
          <w:szCs w:val="28"/>
        </w:rPr>
      </w:pPr>
      <w:r w:rsidRPr="006E03ED">
        <w:rPr>
          <w:bCs/>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B411B1" w:rsidRPr="006E03ED" w:rsidRDefault="00B411B1" w:rsidP="00DC7159">
      <w:pPr>
        <w:pStyle w:val="a3"/>
        <w:ind w:firstLine="709"/>
        <w:jc w:val="both"/>
        <w:rPr>
          <w:bCs/>
          <w:sz w:val="28"/>
          <w:szCs w:val="28"/>
        </w:rPr>
      </w:pPr>
      <w:r w:rsidRPr="006E03ED">
        <w:rPr>
          <w:bCs/>
          <w:sz w:val="28"/>
          <w:szCs w:val="28"/>
        </w:rPr>
        <w:t>Исключения:</w:t>
      </w:r>
    </w:p>
    <w:p w:rsidR="00B411B1" w:rsidRPr="006E03ED" w:rsidRDefault="00B411B1" w:rsidP="00DC7159">
      <w:pPr>
        <w:pStyle w:val="a3"/>
        <w:ind w:firstLine="709"/>
        <w:jc w:val="both"/>
        <w:rPr>
          <w:bCs/>
          <w:sz w:val="28"/>
          <w:szCs w:val="28"/>
        </w:rPr>
      </w:pPr>
      <w:r w:rsidRPr="006E03ED">
        <w:rPr>
          <w:bCs/>
          <w:sz w:val="28"/>
          <w:szCs w:val="28"/>
        </w:rPr>
        <w:t>- субъекты естественной монополии;</w:t>
      </w:r>
    </w:p>
    <w:p w:rsidR="00B411B1" w:rsidRPr="006E03ED" w:rsidRDefault="00B411B1" w:rsidP="00DC7159">
      <w:pPr>
        <w:pStyle w:val="a3"/>
        <w:ind w:firstLine="709"/>
        <w:jc w:val="both"/>
        <w:rPr>
          <w:bCs/>
          <w:sz w:val="28"/>
          <w:szCs w:val="28"/>
        </w:rPr>
      </w:pPr>
      <w:r w:rsidRPr="006E03ED">
        <w:rPr>
          <w:bCs/>
          <w:sz w:val="28"/>
          <w:szCs w:val="28"/>
        </w:rPr>
        <w:t>- соблюдения требований, установленных частью 1 статьи 11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B411B1" w:rsidRPr="006E03ED" w:rsidRDefault="00B411B1" w:rsidP="00DC7159">
      <w:pPr>
        <w:pStyle w:val="a3"/>
        <w:ind w:firstLine="709"/>
        <w:jc w:val="both"/>
        <w:rPr>
          <w:bCs/>
          <w:sz w:val="28"/>
          <w:szCs w:val="28"/>
        </w:rPr>
      </w:pPr>
      <w:r w:rsidRPr="006E03ED">
        <w:rPr>
          <w:bCs/>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411B1" w:rsidRPr="006E03ED" w:rsidRDefault="00B411B1" w:rsidP="003C5A54">
      <w:pPr>
        <w:pStyle w:val="a3"/>
        <w:ind w:firstLine="709"/>
        <w:jc w:val="both"/>
        <w:rPr>
          <w:bCs/>
          <w:sz w:val="28"/>
          <w:szCs w:val="28"/>
        </w:rPr>
      </w:pPr>
      <w:bookmarkStart w:id="1" w:name="_Toc479442960"/>
      <w:r w:rsidRPr="006E03ED">
        <w:rPr>
          <w:bCs/>
          <w:sz w:val="28"/>
          <w:szCs w:val="28"/>
        </w:rPr>
        <w:t xml:space="preserve">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w:t>
      </w:r>
      <w:r w:rsidRPr="006E03ED">
        <w:rPr>
          <w:bCs/>
          <w:sz w:val="28"/>
          <w:szCs w:val="28"/>
        </w:rPr>
        <w:lastRenderedPageBreak/>
        <w:t>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B411B1" w:rsidRPr="006E03ED" w:rsidRDefault="00B411B1" w:rsidP="001C5817">
      <w:pPr>
        <w:pStyle w:val="a3"/>
        <w:ind w:firstLine="709"/>
        <w:jc w:val="both"/>
        <w:rPr>
          <w:bCs/>
          <w:sz w:val="28"/>
          <w:szCs w:val="28"/>
        </w:rPr>
      </w:pPr>
      <w:r w:rsidRPr="006E03ED">
        <w:rPr>
          <w:bCs/>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DC7159" w:rsidRPr="00DC7159" w:rsidRDefault="00DC7159" w:rsidP="001C5817">
      <w:pPr>
        <w:pStyle w:val="a3"/>
        <w:ind w:firstLine="709"/>
        <w:jc w:val="both"/>
        <w:rPr>
          <w:b/>
          <w:bCs/>
          <w:i/>
          <w:sz w:val="28"/>
          <w:szCs w:val="28"/>
        </w:rPr>
      </w:pPr>
      <w:r w:rsidRPr="00DC7159">
        <w:rPr>
          <w:b/>
          <w:bCs/>
          <w:i/>
          <w:sz w:val="28"/>
          <w:szCs w:val="28"/>
        </w:rPr>
        <w:t>Президиум ФАС.</w:t>
      </w:r>
    </w:p>
    <w:p w:rsidR="00FE538D" w:rsidRPr="006E03ED" w:rsidRDefault="00FE538D" w:rsidP="00FE538D">
      <w:pPr>
        <w:pStyle w:val="a3"/>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sidR="006605A1">
        <w:rPr>
          <w:sz w:val="28"/>
          <w:szCs w:val="28"/>
        </w:rPr>
        <w:t>.</w:t>
      </w:r>
    </w:p>
    <w:p w:rsidR="006605A1" w:rsidRDefault="00FE538D" w:rsidP="00FE538D">
      <w:pPr>
        <w:pStyle w:val="a3"/>
        <w:ind w:firstLine="709"/>
        <w:jc w:val="both"/>
        <w:rPr>
          <w:sz w:val="28"/>
          <w:szCs w:val="28"/>
        </w:rPr>
      </w:pPr>
      <w:r w:rsidRPr="006E03ED">
        <w:rPr>
          <w:sz w:val="28"/>
          <w:szCs w:val="28"/>
        </w:rPr>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r w:rsidR="005D4119" w:rsidRPr="006E03ED">
        <w:rPr>
          <w:sz w:val="28"/>
          <w:szCs w:val="28"/>
        </w:rPr>
        <w:t>, формируют правовые позиции.</w:t>
      </w:r>
      <w:r w:rsidRPr="006E03ED">
        <w:rPr>
          <w:sz w:val="28"/>
          <w:szCs w:val="28"/>
        </w:rPr>
        <w:t xml:space="preserve"> В настоящее время </w:t>
      </w:r>
      <w:r w:rsidR="005D4119" w:rsidRPr="006E03ED">
        <w:rPr>
          <w:sz w:val="28"/>
          <w:szCs w:val="28"/>
        </w:rPr>
        <w:t xml:space="preserve">особым правовым статусом и </w:t>
      </w:r>
      <w:r w:rsidRPr="006E03ED">
        <w:rPr>
          <w:sz w:val="28"/>
          <w:szCs w:val="28"/>
        </w:rPr>
        <w:t xml:space="preserve">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19" w:history="1">
        <w:r w:rsidRPr="006E03ED">
          <w:rPr>
            <w:rStyle w:val="a4"/>
            <w:sz w:val="28"/>
            <w:szCs w:val="28"/>
            <w:lang w:val="en-US"/>
          </w:rPr>
          <w:t>www</w:t>
        </w:r>
        <w:r w:rsidRPr="006E03ED">
          <w:rPr>
            <w:rStyle w:val="a4"/>
            <w:sz w:val="28"/>
            <w:szCs w:val="28"/>
          </w:rPr>
          <w:t>.fas.gov.ru</w:t>
        </w:r>
      </w:hyperlink>
      <w:r w:rsidRPr="006E03ED">
        <w:rPr>
          <w:sz w:val="28"/>
          <w:szCs w:val="28"/>
        </w:rPr>
        <w:t xml:space="preserve"> либо в правовых информационных системах. </w:t>
      </w:r>
    </w:p>
    <w:p w:rsidR="00FE538D" w:rsidRPr="006E03ED" w:rsidRDefault="00FE538D" w:rsidP="00FE538D">
      <w:pPr>
        <w:pStyle w:val="a3"/>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w:t>
      </w:r>
      <w:r w:rsidR="00A41187" w:rsidRPr="006E03ED">
        <w:rPr>
          <w:sz w:val="28"/>
          <w:szCs w:val="28"/>
        </w:rPr>
        <w:t>и</w:t>
      </w:r>
      <w:r w:rsidRPr="006E03ED">
        <w:rPr>
          <w:sz w:val="28"/>
          <w:szCs w:val="28"/>
        </w:rPr>
        <w:t>монопольного и иного законодательства.</w:t>
      </w:r>
    </w:p>
    <w:p w:rsidR="00597EC3" w:rsidRPr="00597EC3" w:rsidRDefault="00597EC3" w:rsidP="00597EC3">
      <w:pPr>
        <w:pStyle w:val="a3"/>
        <w:ind w:firstLine="709"/>
        <w:jc w:val="both"/>
        <w:rPr>
          <w:b/>
          <w:i/>
          <w:sz w:val="28"/>
          <w:szCs w:val="28"/>
        </w:rPr>
      </w:pPr>
      <w:r w:rsidRPr="00597EC3">
        <w:rPr>
          <w:b/>
          <w:i/>
          <w:sz w:val="28"/>
          <w:szCs w:val="28"/>
        </w:rPr>
        <w:lastRenderedPageBreak/>
        <w:t>РАЗЪЯСНЕНИЕ № 1</w:t>
      </w:r>
    </w:p>
    <w:p w:rsidR="00597EC3" w:rsidRPr="00597EC3" w:rsidRDefault="00597EC3" w:rsidP="00DC7159">
      <w:pPr>
        <w:pStyle w:val="a3"/>
        <w:ind w:firstLine="709"/>
        <w:jc w:val="both"/>
        <w:rPr>
          <w:b/>
          <w:i/>
          <w:sz w:val="28"/>
          <w:szCs w:val="28"/>
        </w:rPr>
      </w:pPr>
      <w:r w:rsidRPr="00597EC3">
        <w:rPr>
          <w:b/>
          <w:i/>
          <w:sz w:val="28"/>
          <w:szCs w:val="28"/>
        </w:rPr>
        <w:t>«</w:t>
      </w:r>
      <w:r w:rsidRPr="00597EC3">
        <w:rPr>
          <w:b/>
          <w:i/>
          <w:sz w:val="28"/>
          <w:szCs w:val="28"/>
          <w:lang w:val="x-none"/>
        </w:rPr>
        <w:t>ОПРЕДЕЛЕНИ</w:t>
      </w:r>
      <w:r w:rsidRPr="00597EC3">
        <w:rPr>
          <w:b/>
          <w:i/>
          <w:sz w:val="28"/>
          <w:szCs w:val="28"/>
        </w:rPr>
        <w:t>Е</w:t>
      </w:r>
      <w:r w:rsidRPr="00597EC3">
        <w:rPr>
          <w:b/>
          <w:i/>
          <w:sz w:val="28"/>
          <w:szCs w:val="28"/>
          <w:lang w:val="x-none"/>
        </w:rPr>
        <w:t xml:space="preserve"> МОНОПОЛЬНО ВЫСОКОЙ И МОНОПОЛЬНО НИЗКОЙ ЦЕНЫ ТОВАРА</w:t>
      </w:r>
      <w:r w:rsidRPr="00597EC3">
        <w:rPr>
          <w:b/>
          <w:i/>
          <w:sz w:val="28"/>
          <w:szCs w:val="28"/>
        </w:rPr>
        <w:t>»</w:t>
      </w:r>
    </w:p>
    <w:p w:rsidR="00597EC3" w:rsidRPr="006E03ED" w:rsidRDefault="00597EC3" w:rsidP="006C6188">
      <w:pPr>
        <w:pStyle w:val="a3"/>
        <w:ind w:firstLine="709"/>
        <w:jc w:val="both"/>
        <w:rPr>
          <w:sz w:val="28"/>
          <w:szCs w:val="28"/>
        </w:rPr>
      </w:pPr>
      <w:r w:rsidRPr="006E03ED">
        <w:rPr>
          <w:sz w:val="28"/>
          <w:szCs w:val="28"/>
        </w:rPr>
        <w:t>Р</w:t>
      </w:r>
      <w:r w:rsidRPr="006E03ED">
        <w:rPr>
          <w:sz w:val="28"/>
          <w:szCs w:val="28"/>
          <w:lang w:val="x-none"/>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006C6188"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w:t>
      </w:r>
      <w:r w:rsidR="00B40345" w:rsidRPr="006E03ED">
        <w:rPr>
          <w:sz w:val="28"/>
          <w:szCs w:val="28"/>
        </w:rPr>
        <w:t>которые установлен</w:t>
      </w:r>
      <w:r w:rsidR="006C6188" w:rsidRPr="006E03ED">
        <w:rPr>
          <w:sz w:val="28"/>
          <w:szCs w:val="28"/>
        </w:rPr>
        <w:t>ы на мировых рынках аналогичного товара</w:t>
      </w:r>
      <w:r w:rsidR="00B40345" w:rsidRPr="006E03ED">
        <w:rPr>
          <w:sz w:val="28"/>
          <w:szCs w:val="28"/>
        </w:rPr>
        <w:t>, а также установлены методы</w:t>
      </w:r>
      <w:r w:rsidR="00B40345" w:rsidRPr="006E03ED">
        <w:rPr>
          <w:sz w:val="28"/>
          <w:szCs w:val="28"/>
          <w:lang w:val="x-none"/>
        </w:rPr>
        <w:t xml:space="preserve"> определения монопольно высокой или монопольно низкой цены товара</w:t>
      </w:r>
      <w:r w:rsidR="00B40345" w:rsidRPr="006E03ED">
        <w:rPr>
          <w:sz w:val="28"/>
          <w:szCs w:val="28"/>
        </w:rPr>
        <w:t xml:space="preserve">. Приведены в пример решения судов по конкретным судам. Также приведены исключения, по которым </w:t>
      </w:r>
      <w:r w:rsidR="00B40345" w:rsidRPr="006E03ED">
        <w:rPr>
          <w:sz w:val="28"/>
          <w:szCs w:val="28"/>
          <w:lang w:val="x-none"/>
        </w:rPr>
        <w:t xml:space="preserve">Закон о защите конкуренции не позволяет признать монопольно высокой </w:t>
      </w:r>
      <w:r w:rsidR="000536DD" w:rsidRPr="006E03ED">
        <w:rPr>
          <w:sz w:val="28"/>
          <w:szCs w:val="28"/>
        </w:rPr>
        <w:t xml:space="preserve">и монопольно низкой </w:t>
      </w:r>
      <w:r w:rsidR="00B40345" w:rsidRPr="006E03ED">
        <w:rPr>
          <w:sz w:val="28"/>
          <w:szCs w:val="28"/>
          <w:lang w:val="x-none"/>
        </w:rPr>
        <w:t>цену товара.</w:t>
      </w:r>
    </w:p>
    <w:p w:rsidR="000536DD" w:rsidRPr="000536DD" w:rsidRDefault="000536DD" w:rsidP="000536DD">
      <w:pPr>
        <w:pStyle w:val="a3"/>
        <w:ind w:firstLine="709"/>
        <w:jc w:val="both"/>
        <w:rPr>
          <w:b/>
          <w:i/>
          <w:sz w:val="28"/>
          <w:szCs w:val="28"/>
        </w:rPr>
      </w:pPr>
      <w:r w:rsidRPr="000536DD">
        <w:rPr>
          <w:b/>
          <w:i/>
          <w:sz w:val="28"/>
          <w:szCs w:val="28"/>
        </w:rPr>
        <w:t>РАЗЪЯСНЕНИЕ № 2</w:t>
      </w:r>
    </w:p>
    <w:p w:rsidR="00B40345" w:rsidRPr="00B40345" w:rsidRDefault="000536DD" w:rsidP="00DC7159">
      <w:pPr>
        <w:pStyle w:val="a3"/>
        <w:ind w:firstLine="709"/>
        <w:jc w:val="both"/>
        <w:rPr>
          <w:i/>
          <w:sz w:val="28"/>
          <w:szCs w:val="28"/>
        </w:rPr>
      </w:pPr>
      <w:r w:rsidRPr="000536DD">
        <w:rPr>
          <w:b/>
          <w:i/>
          <w:sz w:val="28"/>
          <w:szCs w:val="28"/>
        </w:rPr>
        <w:t>««ВЕРТИКАЛЬНЫЕ» СОГЛАШЕНИЯ, В ТОМ ЧИСЛЕ ДИЛЕРСКИЕ СОГЛАШЕНИЯ»</w:t>
      </w:r>
    </w:p>
    <w:p w:rsidR="00A41187" w:rsidRPr="006E03ED" w:rsidRDefault="001838EA" w:rsidP="00FE538D">
      <w:pPr>
        <w:pStyle w:val="a3"/>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w:t>
      </w:r>
      <w:r w:rsidR="00E961B3" w:rsidRPr="006E03ED">
        <w:rPr>
          <w:sz w:val="28"/>
          <w:szCs w:val="28"/>
        </w:rPr>
        <w:t xml:space="preserve"> в том числе финансовых организаций,</w:t>
      </w:r>
      <w:r w:rsidRPr="006E03ED">
        <w:rPr>
          <w:sz w:val="28"/>
          <w:szCs w:val="28"/>
        </w:rPr>
        <w:t xml:space="preserve"> при реализации которых такие действия могут рассматриваться как нарушение антимонопольного и иного законодательства. Кроме того, </w:t>
      </w:r>
      <w:r w:rsidR="00E961B3" w:rsidRPr="006E03ED">
        <w:rPr>
          <w:sz w:val="28"/>
          <w:szCs w:val="28"/>
        </w:rPr>
        <w:t>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E961B3" w:rsidRPr="000536DD" w:rsidRDefault="00E961B3" w:rsidP="00FE538D">
      <w:pPr>
        <w:pStyle w:val="a3"/>
        <w:ind w:firstLine="709"/>
        <w:jc w:val="both"/>
        <w:rPr>
          <w:i/>
          <w:sz w:val="28"/>
          <w:szCs w:val="28"/>
        </w:rPr>
      </w:pPr>
    </w:p>
    <w:p w:rsidR="000F41C4" w:rsidRPr="000F41C4" w:rsidRDefault="000F41C4" w:rsidP="000F41C4">
      <w:pPr>
        <w:pStyle w:val="a3"/>
        <w:ind w:firstLine="709"/>
        <w:jc w:val="both"/>
        <w:rPr>
          <w:b/>
          <w:i/>
          <w:sz w:val="28"/>
          <w:szCs w:val="28"/>
        </w:rPr>
      </w:pPr>
      <w:r w:rsidRPr="000F41C4">
        <w:rPr>
          <w:b/>
          <w:i/>
          <w:sz w:val="28"/>
          <w:szCs w:val="28"/>
        </w:rPr>
        <w:t>РАЗЪЯСНЕНИЕ № 3</w:t>
      </w:r>
    </w:p>
    <w:p w:rsidR="000F41C4" w:rsidRPr="000F41C4" w:rsidRDefault="000F41C4" w:rsidP="00DC7159">
      <w:pPr>
        <w:pStyle w:val="a3"/>
        <w:ind w:firstLine="709"/>
        <w:jc w:val="both"/>
        <w:rPr>
          <w:b/>
          <w:i/>
          <w:sz w:val="28"/>
          <w:szCs w:val="28"/>
        </w:rPr>
      </w:pPr>
      <w:r w:rsidRPr="000F41C4">
        <w:rPr>
          <w:b/>
          <w:i/>
          <w:sz w:val="28"/>
          <w:szCs w:val="28"/>
        </w:rPr>
        <w:t>«ДОКАЗЫВАНИЕ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802D8B" w:rsidRPr="006E03ED" w:rsidRDefault="00536B51" w:rsidP="00802D8B">
      <w:pPr>
        <w:pStyle w:val="a3"/>
        <w:ind w:firstLine="709"/>
        <w:jc w:val="both"/>
        <w:rPr>
          <w:sz w:val="28"/>
          <w:szCs w:val="28"/>
        </w:rPr>
      </w:pPr>
      <w:r w:rsidRPr="006E03ED">
        <w:rPr>
          <w:sz w:val="28"/>
          <w:szCs w:val="28"/>
        </w:rPr>
        <w:lastRenderedPageBreak/>
        <w:t>В части недо</w:t>
      </w:r>
      <w:r w:rsidR="00802D8B" w:rsidRPr="006E03ED">
        <w:rPr>
          <w:sz w:val="28"/>
          <w:szCs w:val="28"/>
        </w:rPr>
        <w:t xml:space="preserve">пустимости </w:t>
      </w:r>
      <w:r w:rsidR="00802D8B" w:rsidRPr="0043435D">
        <w:rPr>
          <w:sz w:val="28"/>
          <w:szCs w:val="28"/>
        </w:rPr>
        <w:t>соглашений</w:t>
      </w:r>
      <w:r w:rsidR="00802D8B"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802D8B" w:rsidRPr="006E03ED" w:rsidRDefault="00802D8B" w:rsidP="00802D8B">
      <w:pPr>
        <w:pStyle w:val="a3"/>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802D8B" w:rsidRPr="006E03ED" w:rsidRDefault="00802D8B" w:rsidP="00802D8B">
      <w:pPr>
        <w:pStyle w:val="a3"/>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802D8B" w:rsidRPr="006E03ED" w:rsidRDefault="00802D8B" w:rsidP="00802D8B">
      <w:pPr>
        <w:pStyle w:val="a3"/>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802D8B" w:rsidRPr="006E03ED" w:rsidRDefault="00802D8B" w:rsidP="00802D8B">
      <w:pPr>
        <w:pStyle w:val="a3"/>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FE538D" w:rsidRPr="006E03ED" w:rsidRDefault="00802D8B" w:rsidP="00FE538D">
      <w:pPr>
        <w:pStyle w:val="a3"/>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r w:rsidR="006E67DF" w:rsidRPr="006E03ED">
        <w:rPr>
          <w:sz w:val="28"/>
          <w:szCs w:val="28"/>
        </w:rPr>
        <w:t>.</w:t>
      </w:r>
    </w:p>
    <w:p w:rsidR="009820E7" w:rsidRPr="006E03ED" w:rsidRDefault="006E67DF" w:rsidP="009820E7">
      <w:pPr>
        <w:pStyle w:val="a3"/>
        <w:ind w:firstLine="709"/>
        <w:jc w:val="both"/>
        <w:rPr>
          <w:sz w:val="28"/>
          <w:szCs w:val="28"/>
        </w:rPr>
      </w:pPr>
      <w:r w:rsidRPr="006E03ED">
        <w:rPr>
          <w:sz w:val="28"/>
          <w:szCs w:val="28"/>
        </w:rPr>
        <w:t xml:space="preserve">Также приводится оценка </w:t>
      </w:r>
      <w:r w:rsidR="006F60AC" w:rsidRPr="006E03ED">
        <w:rPr>
          <w:sz w:val="28"/>
          <w:szCs w:val="28"/>
        </w:rPr>
        <w:t>действий</w:t>
      </w:r>
      <w:r w:rsidRPr="006E03ED">
        <w:rPr>
          <w:sz w:val="28"/>
          <w:szCs w:val="28"/>
        </w:rPr>
        <w:t xml:space="preserve"> хозяйствующих субъектов, осуществляющих деятельность на одном товарном рынке и являющихся конкурентами, которые могут быть признаны</w:t>
      </w:r>
      <w:r w:rsidRPr="006E03ED">
        <w:rPr>
          <w:b/>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w:t>
      </w:r>
      <w:r w:rsidR="004654E7" w:rsidRPr="006E03ED">
        <w:rPr>
          <w:sz w:val="28"/>
          <w:szCs w:val="28"/>
        </w:rPr>
        <w:t xml:space="preserve"> Указаны условия, при которых запреты, установленные действующим законодательством</w:t>
      </w:r>
      <w:r w:rsidR="006F60AC" w:rsidRPr="006E03ED">
        <w:rPr>
          <w:sz w:val="28"/>
          <w:szCs w:val="28"/>
        </w:rPr>
        <w:t xml:space="preserve"> на согласованные действия</w:t>
      </w:r>
      <w:r w:rsidR="004654E7" w:rsidRPr="006E03ED">
        <w:rPr>
          <w:sz w:val="28"/>
          <w:szCs w:val="28"/>
        </w:rPr>
        <w:t>, на хозяйствующих субъектов не распространяются.</w:t>
      </w:r>
    </w:p>
    <w:p w:rsidR="009820E7" w:rsidRPr="006E03ED" w:rsidRDefault="00E03DA9" w:rsidP="009820E7">
      <w:pPr>
        <w:pStyle w:val="a3"/>
        <w:ind w:firstLine="709"/>
        <w:jc w:val="both"/>
        <w:rPr>
          <w:sz w:val="28"/>
          <w:szCs w:val="28"/>
        </w:rPr>
      </w:pPr>
      <w:r w:rsidRPr="006E03ED">
        <w:rPr>
          <w:sz w:val="28"/>
          <w:szCs w:val="28"/>
        </w:rPr>
        <w:t>Описаны о</w:t>
      </w:r>
      <w:r w:rsidR="009820E7" w:rsidRPr="006E03ED">
        <w:rPr>
          <w:sz w:val="28"/>
          <w:szCs w:val="28"/>
        </w:rPr>
        <w:t>собенности доказывания недопустимых соглашений (в том числе картелей) и согласованных действий на товарных рынках, в том числе на торгах</w:t>
      </w:r>
      <w:r w:rsidRPr="006E03ED">
        <w:rPr>
          <w:sz w:val="28"/>
          <w:szCs w:val="28"/>
        </w:rPr>
        <w:t>. В частности, установлено что может являться прям</w:t>
      </w:r>
      <w:r w:rsidR="000A4159">
        <w:rPr>
          <w:sz w:val="28"/>
          <w:szCs w:val="28"/>
        </w:rPr>
        <w:t>ым</w:t>
      </w:r>
      <w:r w:rsidRPr="006E03ED">
        <w:rPr>
          <w:sz w:val="28"/>
          <w:szCs w:val="28"/>
        </w:rPr>
        <w:t xml:space="preserve"> и косвенным доказа</w:t>
      </w:r>
      <w:r w:rsidR="0062757B" w:rsidRPr="006E03ED">
        <w:rPr>
          <w:sz w:val="28"/>
          <w:szCs w:val="28"/>
        </w:rPr>
        <w:t>тельством тех или иных действ</w:t>
      </w:r>
      <w:r w:rsidR="002608D5" w:rsidRPr="006E03ED">
        <w:rPr>
          <w:sz w:val="28"/>
          <w:szCs w:val="28"/>
        </w:rPr>
        <w:t>ия, приведена судебная практика, способы и методы сбора и получения доказательств при осуществлении функций антимонопольного реагирования.</w:t>
      </w:r>
    </w:p>
    <w:p w:rsidR="002608D5" w:rsidRPr="002608D5" w:rsidRDefault="002608D5" w:rsidP="002608D5">
      <w:pPr>
        <w:pStyle w:val="a3"/>
        <w:ind w:firstLine="709"/>
        <w:jc w:val="both"/>
        <w:rPr>
          <w:b/>
          <w:i/>
          <w:sz w:val="28"/>
          <w:szCs w:val="28"/>
        </w:rPr>
      </w:pPr>
      <w:r w:rsidRPr="002608D5">
        <w:rPr>
          <w:b/>
          <w:i/>
          <w:sz w:val="28"/>
          <w:szCs w:val="28"/>
        </w:rPr>
        <w:t>РАЗЪЯСНЕНИЕ № 4</w:t>
      </w:r>
    </w:p>
    <w:p w:rsidR="002608D5" w:rsidRDefault="002608D5" w:rsidP="002608D5">
      <w:pPr>
        <w:pStyle w:val="a3"/>
        <w:ind w:firstLine="709"/>
        <w:jc w:val="both"/>
        <w:rPr>
          <w:b/>
          <w:i/>
          <w:sz w:val="28"/>
          <w:szCs w:val="28"/>
        </w:rPr>
      </w:pPr>
      <w:r w:rsidRPr="002608D5">
        <w:rPr>
          <w:b/>
          <w:i/>
          <w:sz w:val="28"/>
          <w:szCs w:val="28"/>
        </w:rPr>
        <w:t>«СОГЛАШЕНИЯ В ИННОВАЦИОННЫХ И ВЫСОКОТЕХНОЛОГИЧНЫХ СФЕРАХ ДЕЯТЕЛЬНОСТИ</w:t>
      </w:r>
      <w:r>
        <w:rPr>
          <w:b/>
          <w:i/>
          <w:sz w:val="28"/>
          <w:szCs w:val="28"/>
        </w:rPr>
        <w:t>»</w:t>
      </w:r>
    </w:p>
    <w:p w:rsidR="002608D5" w:rsidRPr="006E03ED" w:rsidRDefault="002608D5" w:rsidP="002608D5">
      <w:pPr>
        <w:pStyle w:val="a3"/>
        <w:ind w:firstLine="709"/>
        <w:jc w:val="both"/>
        <w:rPr>
          <w:sz w:val="28"/>
          <w:szCs w:val="28"/>
        </w:rPr>
      </w:pPr>
      <w:r w:rsidRPr="006E03ED">
        <w:rPr>
          <w:sz w:val="28"/>
          <w:szCs w:val="28"/>
        </w:rPr>
        <w:lastRenderedPageBreak/>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686291" w:rsidRPr="006E03ED" w:rsidRDefault="00686291" w:rsidP="00686291">
      <w:pPr>
        <w:pStyle w:val="a3"/>
        <w:ind w:firstLine="709"/>
        <w:jc w:val="both"/>
        <w:rPr>
          <w:b/>
          <w:sz w:val="28"/>
          <w:szCs w:val="28"/>
        </w:rPr>
      </w:pPr>
      <w:r w:rsidRPr="006E03ED">
        <w:rPr>
          <w:b/>
          <w:sz w:val="28"/>
          <w:szCs w:val="28"/>
        </w:rPr>
        <w:t>Основные положения</w:t>
      </w:r>
    </w:p>
    <w:p w:rsidR="00686291" w:rsidRPr="006E03ED" w:rsidRDefault="00686291" w:rsidP="00686291">
      <w:pPr>
        <w:pStyle w:val="a3"/>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686291" w:rsidRPr="006E03ED" w:rsidRDefault="00686291" w:rsidP="00686291">
      <w:pPr>
        <w:pStyle w:val="a3"/>
        <w:ind w:firstLine="709"/>
        <w:jc w:val="both"/>
        <w:rPr>
          <w:bCs/>
          <w:sz w:val="28"/>
          <w:szCs w:val="28"/>
        </w:rPr>
      </w:pPr>
      <w:r w:rsidRPr="006E03ED">
        <w:rPr>
          <w:bCs/>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686291" w:rsidRPr="006E03ED" w:rsidRDefault="00686291" w:rsidP="00686291">
      <w:pPr>
        <w:pStyle w:val="a3"/>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686291" w:rsidRPr="006E03ED" w:rsidRDefault="00686291" w:rsidP="00686291">
      <w:pPr>
        <w:pStyle w:val="a3"/>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20" w:history="1">
        <w:r w:rsidRPr="006E03ED">
          <w:rPr>
            <w:rStyle w:val="a4"/>
            <w:sz w:val="28"/>
            <w:szCs w:val="28"/>
          </w:rPr>
          <w:t>частью 1 статьи 11</w:t>
        </w:r>
      </w:hyperlink>
      <w:r w:rsidRPr="006E03ED">
        <w:rPr>
          <w:sz w:val="28"/>
          <w:szCs w:val="28"/>
        </w:rPr>
        <w:t xml:space="preserve"> указанного Закона.</w:t>
      </w:r>
    </w:p>
    <w:p w:rsidR="00686291" w:rsidRPr="006E03ED" w:rsidRDefault="00686291" w:rsidP="00686291">
      <w:pPr>
        <w:pStyle w:val="a3"/>
        <w:ind w:firstLine="709"/>
        <w:jc w:val="both"/>
        <w:rPr>
          <w:sz w:val="28"/>
          <w:szCs w:val="28"/>
        </w:rPr>
      </w:pPr>
      <w:r w:rsidRPr="006E03ED">
        <w:rPr>
          <w:sz w:val="28"/>
          <w:szCs w:val="28"/>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686291" w:rsidRPr="006E03ED" w:rsidRDefault="00686291" w:rsidP="00686291">
      <w:pPr>
        <w:pStyle w:val="a3"/>
        <w:ind w:firstLine="709"/>
        <w:jc w:val="both"/>
        <w:rPr>
          <w:b/>
          <w:sz w:val="28"/>
          <w:szCs w:val="28"/>
        </w:rPr>
      </w:pPr>
      <w:r w:rsidRPr="006E03ED">
        <w:rPr>
          <w:b/>
          <w:sz w:val="28"/>
          <w:szCs w:val="28"/>
        </w:rPr>
        <w:t>Общие исключения</w:t>
      </w:r>
    </w:p>
    <w:p w:rsidR="00686291" w:rsidRPr="006E03ED" w:rsidRDefault="00686291" w:rsidP="00686291">
      <w:pPr>
        <w:pStyle w:val="a3"/>
        <w:ind w:firstLine="709"/>
        <w:jc w:val="both"/>
        <w:rPr>
          <w:b/>
          <w:sz w:val="28"/>
          <w:szCs w:val="28"/>
        </w:rPr>
      </w:pPr>
      <w:r w:rsidRPr="006E03ED">
        <w:rPr>
          <w:sz w:val="28"/>
          <w:szCs w:val="28"/>
        </w:rPr>
        <w:t>Согласно части 1 статьи 13</w:t>
      </w:r>
      <w:hyperlink r:id="rId21" w:history="1"/>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686291" w:rsidRPr="006E03ED" w:rsidRDefault="00686291" w:rsidP="00686291">
      <w:pPr>
        <w:pStyle w:val="a3"/>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686291" w:rsidRPr="006E03ED" w:rsidRDefault="00686291" w:rsidP="00686291">
      <w:pPr>
        <w:pStyle w:val="a3"/>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686291" w:rsidRPr="006E03ED" w:rsidRDefault="00686291" w:rsidP="00686291">
      <w:pPr>
        <w:pStyle w:val="a3"/>
        <w:jc w:val="both"/>
        <w:rPr>
          <w:sz w:val="28"/>
          <w:szCs w:val="28"/>
        </w:rPr>
      </w:pPr>
      <w:r w:rsidRPr="006E03ED">
        <w:rPr>
          <w:sz w:val="28"/>
          <w:szCs w:val="28"/>
        </w:rPr>
        <w:lastRenderedPageBreak/>
        <w:t>а также если результатом действий (соглашений, сделок) является или может являться:</w:t>
      </w:r>
    </w:p>
    <w:p w:rsidR="00686291" w:rsidRPr="006E03ED" w:rsidRDefault="00686291" w:rsidP="00686291">
      <w:pPr>
        <w:pStyle w:val="a3"/>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86291" w:rsidRPr="006E03ED" w:rsidRDefault="00686291" w:rsidP="00686291">
      <w:pPr>
        <w:pStyle w:val="a3"/>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686291" w:rsidRPr="006E03ED" w:rsidRDefault="00686291" w:rsidP="00686291">
      <w:pPr>
        <w:pStyle w:val="a3"/>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686291" w:rsidRPr="006E03ED" w:rsidRDefault="00686291" w:rsidP="00686291">
      <w:pPr>
        <w:pStyle w:val="a3"/>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686291" w:rsidRPr="006E03ED" w:rsidRDefault="00686291" w:rsidP="00686291">
      <w:pPr>
        <w:pStyle w:val="a3"/>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2" w:history="1">
        <w:r w:rsidRPr="0043435D">
          <w:rPr>
            <w:sz w:val="28"/>
            <w:szCs w:val="28"/>
          </w:rPr>
          <w:t>частями 2</w:t>
        </w:r>
      </w:hyperlink>
      <w:r w:rsidRPr="006E03ED">
        <w:rPr>
          <w:sz w:val="28"/>
          <w:szCs w:val="28"/>
        </w:rPr>
        <w:t xml:space="preserve"> - </w:t>
      </w:r>
      <w:hyperlink r:id="rId23"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4" w:history="1">
        <w:r w:rsidRPr="0043435D">
          <w:rPr>
            <w:sz w:val="28"/>
            <w:szCs w:val="28"/>
          </w:rPr>
          <w:t>статьей 12</w:t>
        </w:r>
      </w:hyperlink>
      <w:r w:rsidRPr="006E03ED">
        <w:rPr>
          <w:sz w:val="28"/>
          <w:szCs w:val="28"/>
        </w:rPr>
        <w:t xml:space="preserve"> или с </w:t>
      </w:r>
      <w:hyperlink r:id="rId25" w:history="1">
        <w:r w:rsidRPr="0043435D">
          <w:rPr>
            <w:sz w:val="28"/>
            <w:szCs w:val="28"/>
          </w:rPr>
          <w:t>частью 1 статьи 13</w:t>
        </w:r>
      </w:hyperlink>
      <w:r w:rsidRPr="006E03ED">
        <w:rPr>
          <w:sz w:val="28"/>
          <w:szCs w:val="28"/>
        </w:rPr>
        <w:t xml:space="preserve">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686291" w:rsidRPr="006E03ED" w:rsidRDefault="00686291" w:rsidP="00686291">
      <w:pPr>
        <w:pStyle w:val="a3"/>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 xml:space="preserve">Таким образом, для определения допустимости «вертикального» соглашения в соответствии с частью 2 статьи 12 Закона о защите конкуренции </w:t>
      </w:r>
      <w:r w:rsidRPr="006E03ED">
        <w:rPr>
          <w:sz w:val="28"/>
          <w:szCs w:val="28"/>
        </w:rPr>
        <w:lastRenderedPageBreak/>
        <w:t>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686291" w:rsidRPr="006E03ED" w:rsidRDefault="00686291" w:rsidP="00686291">
      <w:pPr>
        <w:pStyle w:val="a3"/>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686291" w:rsidRPr="006E03ED" w:rsidRDefault="00686291" w:rsidP="00686291">
      <w:pPr>
        <w:pStyle w:val="a3"/>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686291" w:rsidRPr="006E03ED" w:rsidRDefault="00686291" w:rsidP="00686291">
      <w:pPr>
        <w:pStyle w:val="a3"/>
        <w:ind w:firstLine="709"/>
        <w:jc w:val="both"/>
        <w:rPr>
          <w:b/>
          <w:sz w:val="28"/>
          <w:szCs w:val="28"/>
        </w:rPr>
      </w:pPr>
      <w:r w:rsidRPr="006E03ED">
        <w:rPr>
          <w:b/>
          <w:sz w:val="28"/>
          <w:szCs w:val="28"/>
        </w:rPr>
        <w:t>Специальные исключения</w:t>
      </w:r>
    </w:p>
    <w:p w:rsidR="00686291" w:rsidRPr="006E03ED" w:rsidRDefault="00686291" w:rsidP="00686291">
      <w:pPr>
        <w:pStyle w:val="a3"/>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686291" w:rsidRPr="006E03ED" w:rsidRDefault="00686291" w:rsidP="00686291">
      <w:pPr>
        <w:pStyle w:val="a3"/>
        <w:ind w:firstLine="709"/>
        <w:jc w:val="both"/>
        <w:rPr>
          <w:sz w:val="28"/>
          <w:szCs w:val="28"/>
        </w:rPr>
      </w:pPr>
      <w:r w:rsidRPr="006E03ED">
        <w:rPr>
          <w:sz w:val="28"/>
          <w:szCs w:val="28"/>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686291" w:rsidRPr="006E03ED" w:rsidRDefault="00686291" w:rsidP="00686291">
      <w:pPr>
        <w:pStyle w:val="a3"/>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686291" w:rsidRPr="006E03ED" w:rsidRDefault="00686291" w:rsidP="00686291">
      <w:pPr>
        <w:pStyle w:val="a3"/>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686291" w:rsidRPr="006E03ED" w:rsidRDefault="00686291" w:rsidP="00686291">
      <w:pPr>
        <w:pStyle w:val="a3"/>
        <w:ind w:firstLine="709"/>
        <w:jc w:val="both"/>
        <w:rPr>
          <w:sz w:val="28"/>
          <w:szCs w:val="28"/>
        </w:rPr>
      </w:pPr>
      <w:r w:rsidRPr="006E03ED">
        <w:rPr>
          <w:sz w:val="28"/>
          <w:szCs w:val="28"/>
        </w:rPr>
        <w:lastRenderedPageBreak/>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86291" w:rsidRPr="006E03ED" w:rsidRDefault="00686291" w:rsidP="00686291">
      <w:pPr>
        <w:pStyle w:val="a3"/>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686291" w:rsidRPr="006E03ED" w:rsidRDefault="00686291" w:rsidP="00686291">
      <w:pPr>
        <w:pStyle w:val="a3"/>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686291" w:rsidRPr="00686291" w:rsidRDefault="00686291" w:rsidP="00686291">
      <w:pPr>
        <w:pStyle w:val="a3"/>
        <w:ind w:firstLine="709"/>
        <w:jc w:val="both"/>
        <w:rPr>
          <w:b/>
          <w:i/>
          <w:sz w:val="28"/>
          <w:szCs w:val="28"/>
        </w:rPr>
      </w:pPr>
      <w:r w:rsidRPr="00686291">
        <w:rPr>
          <w:b/>
          <w:i/>
          <w:sz w:val="28"/>
          <w:szCs w:val="28"/>
        </w:rPr>
        <w:t>РАЗЪЯСНЕНИЕ № 5</w:t>
      </w:r>
    </w:p>
    <w:p w:rsidR="00686291" w:rsidRPr="008262CF" w:rsidRDefault="00686291" w:rsidP="008262CF">
      <w:pPr>
        <w:pStyle w:val="a3"/>
        <w:ind w:firstLine="709"/>
        <w:jc w:val="both"/>
        <w:rPr>
          <w:b/>
          <w:i/>
          <w:sz w:val="28"/>
          <w:szCs w:val="28"/>
        </w:rPr>
      </w:pPr>
      <w:r w:rsidRPr="00686291">
        <w:rPr>
          <w:b/>
          <w:i/>
          <w:sz w:val="28"/>
          <w:szCs w:val="28"/>
        </w:rPr>
        <w:t>«ОЦЕНКА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2608D5" w:rsidRPr="006E03ED" w:rsidRDefault="008262CF" w:rsidP="002608D5">
      <w:pPr>
        <w:pStyle w:val="a3"/>
        <w:ind w:firstLine="709"/>
        <w:jc w:val="both"/>
        <w:rPr>
          <w:sz w:val="28"/>
          <w:szCs w:val="28"/>
        </w:rPr>
      </w:pPr>
      <w:r w:rsidRPr="006E03ED">
        <w:rPr>
          <w:sz w:val="28"/>
          <w:szCs w:val="28"/>
        </w:rPr>
        <w:t xml:space="preserve">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w:t>
      </w:r>
      <w:r w:rsidRPr="006E03ED">
        <w:rPr>
          <w:sz w:val="28"/>
          <w:szCs w:val="28"/>
        </w:rPr>
        <w:lastRenderedPageBreak/>
        <w:t xml:space="preserve">формы действий (бездействия) монополистов являются недопустимыми, а другие формы запрещенных действий (бездействия) </w:t>
      </w:r>
      <w:r w:rsidR="00E36DEC" w:rsidRPr="006E03ED">
        <w:rPr>
          <w:sz w:val="28"/>
          <w:szCs w:val="28"/>
        </w:rPr>
        <w:t xml:space="preserve">могут быть признаны допустимыми. В разъяснении указаны конкретные нормы законодательства с описанием определенных действий хозяйствующих субъектов, </w:t>
      </w:r>
      <w:r w:rsidR="00A24F14" w:rsidRPr="006E03ED">
        <w:rPr>
          <w:sz w:val="28"/>
          <w:szCs w:val="28"/>
        </w:rPr>
        <w:t xml:space="preserve">примеров, </w:t>
      </w:r>
      <w:r w:rsidR="00E36DEC" w:rsidRPr="006E03ED">
        <w:rPr>
          <w:sz w:val="28"/>
          <w:szCs w:val="28"/>
        </w:rPr>
        <w:t>определены исключения.</w:t>
      </w:r>
    </w:p>
    <w:p w:rsidR="00771503" w:rsidRPr="006E03ED" w:rsidRDefault="00771503" w:rsidP="00771503">
      <w:pPr>
        <w:pStyle w:val="a3"/>
        <w:ind w:firstLine="709"/>
        <w:jc w:val="both"/>
        <w:rPr>
          <w:sz w:val="28"/>
          <w:szCs w:val="28"/>
        </w:rPr>
      </w:pPr>
      <w:r w:rsidRPr="006E03ED">
        <w:rPr>
          <w:sz w:val="28"/>
          <w:szCs w:val="28"/>
        </w:rPr>
        <w:t xml:space="preserve">Существенным </w:t>
      </w:r>
      <w:r w:rsidR="00A24F14" w:rsidRPr="006E03ED">
        <w:rPr>
          <w:sz w:val="28"/>
          <w:szCs w:val="28"/>
        </w:rPr>
        <w:t xml:space="preserve">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00A24F14" w:rsidRPr="006E03ED">
        <w:rPr>
          <w:b/>
          <w:sz w:val="28"/>
          <w:szCs w:val="28"/>
        </w:rPr>
        <w:t>утверждение доминирующим на товарном рынке хозяйствующим субъектом правил торговой практики</w:t>
      </w:r>
      <w:r w:rsidR="00A24F14"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w:t>
      </w:r>
      <w:r w:rsidRPr="006E03ED">
        <w:rPr>
          <w:sz w:val="28"/>
          <w:szCs w:val="28"/>
        </w:rPr>
        <w:t xml:space="preserve">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771503" w:rsidRDefault="00771503" w:rsidP="00771503">
      <w:pPr>
        <w:pStyle w:val="a3"/>
        <w:ind w:firstLine="709"/>
        <w:jc w:val="both"/>
        <w:rPr>
          <w:b/>
          <w:bCs/>
          <w:i/>
          <w:sz w:val="28"/>
          <w:szCs w:val="28"/>
        </w:rPr>
      </w:pPr>
      <w:r w:rsidRPr="00771503">
        <w:rPr>
          <w:b/>
          <w:bCs/>
          <w:i/>
          <w:sz w:val="28"/>
          <w:szCs w:val="28"/>
        </w:rPr>
        <w:t>РАЗЪЯСНЕНИЕ N 6</w:t>
      </w:r>
    </w:p>
    <w:p w:rsidR="00771503" w:rsidRDefault="00771503" w:rsidP="00771503">
      <w:pPr>
        <w:pStyle w:val="a3"/>
        <w:ind w:firstLine="709"/>
        <w:jc w:val="both"/>
        <w:rPr>
          <w:b/>
          <w:bCs/>
          <w:i/>
          <w:sz w:val="28"/>
          <w:szCs w:val="28"/>
        </w:rPr>
      </w:pPr>
      <w:r w:rsidRPr="00771503">
        <w:rPr>
          <w:b/>
          <w:bCs/>
          <w:i/>
          <w:sz w:val="28"/>
          <w:szCs w:val="28"/>
        </w:rPr>
        <w:t>"ДОКАЗЫВАНИЕ И РАСЧЕТ УБЫТКОВ,</w:t>
      </w:r>
      <w:r>
        <w:rPr>
          <w:b/>
          <w:bCs/>
          <w:i/>
          <w:sz w:val="28"/>
          <w:szCs w:val="28"/>
        </w:rPr>
        <w:t xml:space="preserve"> </w:t>
      </w:r>
      <w:r w:rsidRPr="00771503">
        <w:rPr>
          <w:b/>
          <w:bCs/>
          <w:i/>
          <w:sz w:val="28"/>
          <w:szCs w:val="28"/>
        </w:rPr>
        <w:t>ПРИЧИНЕННЫХ НАРУШЕНИЕМ АНТИМОНОПОЛЬНОГО ЗАКОНОДАТЕЛЬСТВА"</w:t>
      </w:r>
    </w:p>
    <w:p w:rsidR="00EC1E63" w:rsidRPr="006E03ED" w:rsidRDefault="00EC1E63" w:rsidP="00EC1E63">
      <w:pPr>
        <w:pStyle w:val="a3"/>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EC1E63" w:rsidRPr="006E03ED" w:rsidRDefault="00EC1E63" w:rsidP="00EC1E63">
      <w:pPr>
        <w:pStyle w:val="a3"/>
        <w:ind w:firstLine="709"/>
        <w:jc w:val="both"/>
        <w:rPr>
          <w:sz w:val="28"/>
          <w:szCs w:val="28"/>
        </w:rPr>
      </w:pPr>
      <w:r w:rsidRPr="006E03ED">
        <w:rPr>
          <w:sz w:val="28"/>
          <w:szCs w:val="28"/>
        </w:rPr>
        <w:t xml:space="preserve">В соответствии с </w:t>
      </w:r>
      <w:hyperlink r:id="rId26"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w:t>
      </w:r>
      <w:r w:rsidRPr="006E03ED">
        <w:rPr>
          <w:sz w:val="28"/>
          <w:szCs w:val="28"/>
        </w:rPr>
        <w:lastRenderedPageBreak/>
        <w:t>антимонопольных органов и судейского сообщества при определении причиненного вреда.</w:t>
      </w:r>
    </w:p>
    <w:p w:rsidR="005C5B00" w:rsidRPr="005C5B00" w:rsidRDefault="005C5B00" w:rsidP="005C5B00">
      <w:pPr>
        <w:pStyle w:val="a3"/>
        <w:ind w:firstLine="709"/>
        <w:jc w:val="both"/>
        <w:rPr>
          <w:b/>
          <w:i/>
          <w:sz w:val="28"/>
          <w:szCs w:val="28"/>
        </w:rPr>
      </w:pPr>
      <w:r w:rsidRPr="005C5B00">
        <w:rPr>
          <w:b/>
          <w:i/>
          <w:sz w:val="28"/>
          <w:szCs w:val="28"/>
        </w:rPr>
        <w:t>РАЗЪЯСНЕНИЕ № 7</w:t>
      </w:r>
    </w:p>
    <w:p w:rsidR="005C5B00" w:rsidRPr="005C5B00" w:rsidRDefault="005C5B00" w:rsidP="00DC7159">
      <w:pPr>
        <w:pStyle w:val="a3"/>
        <w:ind w:firstLine="709"/>
        <w:jc w:val="both"/>
        <w:rPr>
          <w:b/>
          <w:i/>
          <w:sz w:val="28"/>
          <w:szCs w:val="28"/>
        </w:rPr>
      </w:pPr>
      <w:r w:rsidRPr="005C5B00">
        <w:rPr>
          <w:b/>
          <w:i/>
          <w:sz w:val="28"/>
          <w:szCs w:val="28"/>
        </w:rPr>
        <w:t>«ПОРЯДОК ПРИМЕНЕНИЯ ЗАКОНА О ЗАЩИТЕ КОНКУРЕНЦИИ</w:t>
      </w:r>
      <w:r>
        <w:rPr>
          <w:b/>
          <w:i/>
          <w:sz w:val="28"/>
          <w:szCs w:val="28"/>
        </w:rPr>
        <w:t xml:space="preserve"> </w:t>
      </w:r>
      <w:r w:rsidRPr="005C5B00">
        <w:rPr>
          <w:b/>
          <w:i/>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A443B0" w:rsidRPr="006E03ED" w:rsidRDefault="00953C4B" w:rsidP="00A443B0">
      <w:pPr>
        <w:pStyle w:val="a3"/>
        <w:ind w:firstLine="709"/>
        <w:jc w:val="both"/>
        <w:rPr>
          <w:sz w:val="28"/>
          <w:szCs w:val="28"/>
        </w:rPr>
      </w:pPr>
      <w:r w:rsidRPr="006E03ED">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r w:rsidR="00FA1871" w:rsidRPr="006E03ED">
        <w:rPr>
          <w:sz w:val="28"/>
          <w:szCs w:val="28"/>
        </w:rPr>
        <w:t xml:space="preserve"> </w:t>
      </w:r>
    </w:p>
    <w:p w:rsidR="00A443B0" w:rsidRPr="006E03ED" w:rsidRDefault="00FA1871" w:rsidP="00A443B0">
      <w:pPr>
        <w:pStyle w:val="a3"/>
        <w:ind w:firstLine="709"/>
        <w:jc w:val="both"/>
        <w:rPr>
          <w:sz w:val="28"/>
          <w:szCs w:val="28"/>
        </w:rPr>
      </w:pPr>
      <w:r w:rsidRPr="006E03ED">
        <w:rPr>
          <w:sz w:val="28"/>
          <w:szCs w:val="28"/>
        </w:rPr>
        <w:t xml:space="preserve">Особо следует обратить внимание, что со вступлением Закона № 250-ФЗ в силу нормам статьи 9.21 КоАП был придан </w:t>
      </w:r>
      <w:r w:rsidRPr="006E03ED">
        <w:rPr>
          <w:bCs/>
          <w:sz w:val="28"/>
          <w:szCs w:val="28"/>
        </w:rPr>
        <w:t>специальный</w:t>
      </w:r>
      <w:r w:rsidRPr="006E03ED">
        <w:rPr>
          <w:sz w:val="28"/>
          <w:szCs w:val="28"/>
        </w:rPr>
        <w:t xml:space="preserve">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r w:rsidR="00A443B0" w:rsidRPr="006E03ED">
        <w:rPr>
          <w:sz w:val="28"/>
          <w:szCs w:val="28"/>
        </w:rPr>
        <w:t xml:space="preserve">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A443B0" w:rsidRPr="006E03ED" w:rsidRDefault="00A443B0" w:rsidP="00A443B0">
      <w:pPr>
        <w:pStyle w:val="a3"/>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3003B" w:rsidRPr="006E03ED" w:rsidRDefault="00B3003B" w:rsidP="0043435D">
      <w:pPr>
        <w:pStyle w:val="a3"/>
        <w:ind w:firstLine="709"/>
        <w:jc w:val="both"/>
        <w:rPr>
          <w:sz w:val="28"/>
          <w:szCs w:val="28"/>
        </w:rPr>
      </w:pPr>
      <w:r w:rsidRPr="006E03ED">
        <w:rPr>
          <w:sz w:val="28"/>
          <w:szCs w:val="28"/>
        </w:rPr>
        <w:lastRenderedPageBreak/>
        <w:t>Заявителями могут быть юридические лица и индивидуальные предприниматели, являющиеся субъектами градостроительных отношений.</w:t>
      </w:r>
    </w:p>
    <w:p w:rsidR="00B3003B" w:rsidRPr="006E03ED" w:rsidRDefault="00B3003B" w:rsidP="0043435D">
      <w:pPr>
        <w:pStyle w:val="a3"/>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3003B" w:rsidRPr="006E03ED" w:rsidRDefault="00B3003B" w:rsidP="00B3003B">
      <w:pPr>
        <w:pStyle w:val="a3"/>
        <w:numPr>
          <w:ilvl w:val="0"/>
          <w:numId w:val="3"/>
        </w:numPr>
        <w:jc w:val="both"/>
        <w:rPr>
          <w:sz w:val="28"/>
          <w:szCs w:val="28"/>
        </w:rPr>
      </w:pPr>
      <w:r w:rsidRPr="006E03ED">
        <w:rPr>
          <w:sz w:val="28"/>
          <w:szCs w:val="28"/>
        </w:rPr>
        <w:t>незаконном отказе в приеме документов, заявлений;</w:t>
      </w:r>
    </w:p>
    <w:p w:rsidR="00B3003B" w:rsidRPr="006E03ED" w:rsidRDefault="00B3003B" w:rsidP="00B3003B">
      <w:pPr>
        <w:pStyle w:val="a3"/>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3003B" w:rsidRPr="006E03ED" w:rsidRDefault="00B3003B" w:rsidP="00B3003B">
      <w:pPr>
        <w:pStyle w:val="a3"/>
        <w:numPr>
          <w:ilvl w:val="0"/>
          <w:numId w:val="3"/>
        </w:numPr>
        <w:jc w:val="both"/>
        <w:rPr>
          <w:sz w:val="28"/>
          <w:szCs w:val="28"/>
        </w:rPr>
      </w:pPr>
      <w:r w:rsidRPr="006E03ED">
        <w:rPr>
          <w:sz w:val="28"/>
          <w:szCs w:val="28"/>
        </w:rPr>
        <w:t>нарушении установленных сроков осуществления процедуры;</w:t>
      </w:r>
    </w:p>
    <w:p w:rsidR="00B3003B" w:rsidRPr="006E03ED" w:rsidRDefault="00B3003B" w:rsidP="00B3003B">
      <w:pPr>
        <w:pStyle w:val="a3"/>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3003B" w:rsidRPr="006E03ED" w:rsidRDefault="00B3003B" w:rsidP="0043435D">
      <w:pPr>
        <w:pStyle w:val="a3"/>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DC7159" w:rsidRDefault="00592687" w:rsidP="00DC7159">
      <w:pPr>
        <w:pStyle w:val="a3"/>
        <w:ind w:firstLine="709"/>
        <w:jc w:val="both"/>
        <w:rPr>
          <w:b/>
          <w:i/>
          <w:sz w:val="28"/>
          <w:szCs w:val="28"/>
        </w:rPr>
      </w:pPr>
      <w:r w:rsidRPr="00592687">
        <w:rPr>
          <w:b/>
          <w:i/>
          <w:sz w:val="28"/>
          <w:szCs w:val="28"/>
        </w:rPr>
        <w:t>РАЗЪЯСНЕНИЕ</w:t>
      </w:r>
      <w:r>
        <w:rPr>
          <w:b/>
          <w:i/>
          <w:sz w:val="28"/>
          <w:szCs w:val="28"/>
        </w:rPr>
        <w:t xml:space="preserve"> №8</w:t>
      </w:r>
    </w:p>
    <w:p w:rsidR="00592687" w:rsidRPr="00592687" w:rsidRDefault="00592687" w:rsidP="00DC7159">
      <w:pPr>
        <w:pStyle w:val="a3"/>
        <w:ind w:firstLine="709"/>
        <w:jc w:val="both"/>
        <w:rPr>
          <w:b/>
          <w:i/>
          <w:sz w:val="28"/>
          <w:szCs w:val="28"/>
        </w:rPr>
      </w:pPr>
      <w:r w:rsidRPr="00592687">
        <w:rPr>
          <w:b/>
          <w:i/>
          <w:sz w:val="28"/>
          <w:szCs w:val="28"/>
        </w:rPr>
        <w:t>«О ПРИМЕНЕНИИ ПОЛОЖЕНИЙ СТАТЬИ 10 ЗАКОНА О ЗАЩИТЕ КОНКУРЕНЦИИ»</w:t>
      </w:r>
    </w:p>
    <w:p w:rsidR="00592687" w:rsidRPr="00140A44" w:rsidRDefault="004F08F6" w:rsidP="00592687">
      <w:pPr>
        <w:pStyle w:val="a3"/>
        <w:ind w:firstLine="709"/>
        <w:jc w:val="both"/>
        <w:rPr>
          <w:sz w:val="28"/>
          <w:szCs w:val="28"/>
        </w:rPr>
      </w:pPr>
      <w:r>
        <w:rPr>
          <w:sz w:val="28"/>
          <w:szCs w:val="28"/>
        </w:rPr>
        <w:t>О</w:t>
      </w:r>
      <w:r w:rsidR="00592687"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592687" w:rsidRPr="00140A44" w:rsidRDefault="00592687" w:rsidP="00592687">
      <w:pPr>
        <w:pStyle w:val="a3"/>
        <w:ind w:firstLine="709"/>
        <w:jc w:val="both"/>
        <w:rPr>
          <w:sz w:val="28"/>
          <w:szCs w:val="28"/>
        </w:rPr>
      </w:pPr>
      <w:r w:rsidRPr="00140A44">
        <w:rPr>
          <w:sz w:val="28"/>
          <w:szCs w:val="28"/>
        </w:rPr>
        <w:t>Тщательно исследуются и дается правовая оценка по таким вопросам как:</w:t>
      </w:r>
    </w:p>
    <w:p w:rsidR="00A443B0" w:rsidRPr="00140A44" w:rsidRDefault="00592687" w:rsidP="00592687">
      <w:pPr>
        <w:pStyle w:val="a3"/>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xml:space="preserve">; оценка положения хозяйствующего субъекта на товарном рынке; противоправное поведение, составляющее злоупотребление </w:t>
      </w:r>
      <w:r w:rsidRPr="00140A44">
        <w:rPr>
          <w:sz w:val="28"/>
          <w:szCs w:val="28"/>
        </w:rPr>
        <w:lastRenderedPageBreak/>
        <w:t>доминирующим положением; оценка негативных последствий поведения хозяйствующего субъекта; значение объективной взаимосвязи;</w:t>
      </w:r>
    </w:p>
    <w:p w:rsidR="00592687" w:rsidRPr="00140A44" w:rsidRDefault="00592687" w:rsidP="00A443B0">
      <w:pPr>
        <w:pStyle w:val="a3"/>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r w:rsidR="002A5CB6" w:rsidRPr="00140A44">
        <w:rPr>
          <w:sz w:val="28"/>
          <w:szCs w:val="28"/>
        </w:rPr>
        <w:t>;</w:t>
      </w:r>
    </w:p>
    <w:p w:rsidR="002A5CB6" w:rsidRPr="00140A44" w:rsidRDefault="002A5CB6" w:rsidP="00A443B0">
      <w:pPr>
        <w:pStyle w:val="a3"/>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A5CB6" w:rsidRPr="00140A44" w:rsidRDefault="002A5CB6" w:rsidP="00A443B0">
      <w:pPr>
        <w:pStyle w:val="a3"/>
        <w:ind w:firstLine="709"/>
        <w:jc w:val="both"/>
        <w:rPr>
          <w:sz w:val="28"/>
          <w:szCs w:val="28"/>
        </w:rPr>
      </w:pPr>
      <w:r w:rsidRPr="00140A44">
        <w:rPr>
          <w:sz w:val="28"/>
          <w:szCs w:val="28"/>
        </w:rPr>
        <w:t>-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w:t>
      </w:r>
      <w:r w:rsidR="004A057D" w:rsidRPr="00140A44">
        <w:rPr>
          <w:sz w:val="28"/>
          <w:szCs w:val="28"/>
        </w:rPr>
        <w:t>).</w:t>
      </w:r>
      <w:r w:rsidRPr="00140A44">
        <w:rPr>
          <w:sz w:val="28"/>
          <w:szCs w:val="28"/>
        </w:rPr>
        <w:t xml:space="preserve"> </w:t>
      </w:r>
    </w:p>
    <w:p w:rsidR="004A057D" w:rsidRDefault="004A057D" w:rsidP="004A057D">
      <w:pPr>
        <w:spacing w:after="0" w:line="360" w:lineRule="auto"/>
        <w:jc w:val="center"/>
        <w:rPr>
          <w:rFonts w:ascii="Times New Roman" w:hAnsi="Times New Roman" w:cs="Times New Roman"/>
          <w:b/>
          <w:sz w:val="28"/>
          <w:szCs w:val="28"/>
        </w:rPr>
      </w:pPr>
    </w:p>
    <w:p w:rsidR="004A057D" w:rsidRDefault="004A057D" w:rsidP="00B26651">
      <w:pPr>
        <w:spacing w:after="0" w:line="240" w:lineRule="auto"/>
        <w:jc w:val="both"/>
        <w:rPr>
          <w:rFonts w:ascii="Times New Roman" w:hAnsi="Times New Roman" w:cs="Times New Roman"/>
          <w:b/>
          <w:i/>
          <w:sz w:val="28"/>
          <w:szCs w:val="28"/>
        </w:rPr>
      </w:pPr>
      <w:r w:rsidRPr="00B26651">
        <w:rPr>
          <w:rFonts w:ascii="Times New Roman" w:hAnsi="Times New Roman" w:cs="Times New Roman"/>
          <w:b/>
          <w:i/>
          <w:sz w:val="28"/>
          <w:szCs w:val="28"/>
        </w:rPr>
        <w:t>Р</w:t>
      </w:r>
      <w:r w:rsidR="00B26651" w:rsidRPr="00B26651">
        <w:rPr>
          <w:rFonts w:ascii="Times New Roman" w:hAnsi="Times New Roman" w:cs="Times New Roman"/>
          <w:b/>
          <w:i/>
          <w:sz w:val="28"/>
          <w:szCs w:val="28"/>
        </w:rPr>
        <w:t>АЗЪЯСНЕНИЕ</w:t>
      </w:r>
      <w:r w:rsidRPr="00B26651">
        <w:rPr>
          <w:rFonts w:ascii="Times New Roman" w:hAnsi="Times New Roman" w:cs="Times New Roman"/>
          <w:b/>
          <w:i/>
          <w:sz w:val="28"/>
          <w:szCs w:val="28"/>
        </w:rPr>
        <w:t xml:space="preserve"> № 9</w:t>
      </w:r>
    </w:p>
    <w:p w:rsidR="00675646" w:rsidRPr="00B26651" w:rsidRDefault="00675646" w:rsidP="00B26651">
      <w:pPr>
        <w:spacing w:after="0" w:line="240" w:lineRule="auto"/>
        <w:jc w:val="both"/>
        <w:rPr>
          <w:rFonts w:ascii="Times New Roman" w:hAnsi="Times New Roman" w:cs="Times New Roman"/>
          <w:b/>
          <w:i/>
          <w:sz w:val="28"/>
          <w:szCs w:val="28"/>
        </w:rPr>
      </w:pPr>
    </w:p>
    <w:p w:rsidR="004A057D" w:rsidRDefault="004A057D" w:rsidP="00DC7159">
      <w:pPr>
        <w:spacing w:after="0" w:line="240" w:lineRule="auto"/>
        <w:ind w:firstLine="709"/>
        <w:jc w:val="both"/>
        <w:rPr>
          <w:rFonts w:ascii="Times New Roman" w:hAnsi="Times New Roman" w:cs="Times New Roman"/>
          <w:b/>
          <w:i/>
          <w:sz w:val="28"/>
          <w:szCs w:val="28"/>
        </w:rPr>
      </w:pPr>
      <w:r w:rsidRPr="00B26651">
        <w:rPr>
          <w:rFonts w:ascii="Times New Roman" w:hAnsi="Times New Roman" w:cs="Times New Roman"/>
          <w:b/>
          <w:i/>
          <w:sz w:val="28"/>
          <w:szCs w:val="28"/>
        </w:rPr>
        <w:t>«О ПОРЯДКЕ ПУБЛИКАЦИИ МЕЖДУНАРОДНЫМИ МОРСКИМИ КОНТЕЙНЕРНЫМИ ПЕРЕВОЗЧИКАМИ СТОИМОСТИ ПЕРЕВОЗКИ»</w:t>
      </w:r>
    </w:p>
    <w:p w:rsidR="00B26651" w:rsidRPr="00B26651" w:rsidRDefault="00B26651" w:rsidP="00B26651">
      <w:pPr>
        <w:spacing w:after="0" w:line="240" w:lineRule="auto"/>
        <w:jc w:val="both"/>
        <w:rPr>
          <w:rFonts w:ascii="Times New Roman" w:hAnsi="Times New Roman" w:cs="Times New Roman"/>
          <w:b/>
          <w:i/>
          <w:sz w:val="28"/>
          <w:szCs w:val="28"/>
        </w:rPr>
      </w:pPr>
    </w:p>
    <w:p w:rsidR="004A057D" w:rsidRPr="00140A44" w:rsidRDefault="004A057D" w:rsidP="004A057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140A44">
        <w:rPr>
          <w:rFonts w:ascii="Times New Roman" w:eastAsia="Times New Roman" w:hAnsi="Times New Roman" w:cs="Times New Roman"/>
          <w:sz w:val="28"/>
          <w:szCs w:val="28"/>
          <w:lang w:eastAsia="ru-RU"/>
        </w:rPr>
        <w:t>Настоящие разъяснения направлены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r w:rsidR="00EE3B98" w:rsidRPr="00140A44">
        <w:rPr>
          <w:rFonts w:ascii="Times New Roman" w:eastAsia="Times New Roman" w:hAnsi="Times New Roman" w:cs="Times New Roman"/>
          <w:sz w:val="28"/>
          <w:szCs w:val="28"/>
          <w:lang w:eastAsia="ru-RU"/>
        </w:rPr>
        <w:t xml:space="preserve"> В частности, рассматриваются антимонопольные риски таких участников, представляются вниманию рекомендуе</w:t>
      </w:r>
      <w:r w:rsidR="00B26651" w:rsidRPr="00140A44">
        <w:rPr>
          <w:rFonts w:ascii="Times New Roman" w:eastAsia="Times New Roman" w:hAnsi="Times New Roman" w:cs="Times New Roman"/>
          <w:sz w:val="28"/>
          <w:szCs w:val="28"/>
          <w:lang w:eastAsia="ru-RU"/>
        </w:rPr>
        <w:t>мые правила поведения на рынке, иное.</w:t>
      </w:r>
    </w:p>
    <w:p w:rsidR="00B26651" w:rsidRDefault="00B26651" w:rsidP="004A057D">
      <w:pPr>
        <w:spacing w:after="0" w:line="240" w:lineRule="auto"/>
        <w:ind w:firstLine="709"/>
        <w:jc w:val="both"/>
        <w:rPr>
          <w:rFonts w:ascii="Times New Roman" w:eastAsia="Times New Roman" w:hAnsi="Times New Roman" w:cs="Times New Roman"/>
          <w:i/>
          <w:sz w:val="28"/>
          <w:szCs w:val="28"/>
          <w:lang w:eastAsia="ru-RU"/>
        </w:rPr>
      </w:pPr>
    </w:p>
    <w:p w:rsidR="00B26651" w:rsidRPr="00140A44" w:rsidRDefault="00DC7159" w:rsidP="00DC7159">
      <w:pPr>
        <w:spacing w:after="0" w:line="240" w:lineRule="auto"/>
        <w:jc w:val="both"/>
        <w:rPr>
          <w:rFonts w:ascii="Times New Roman" w:hAnsi="Times New Roman" w:cs="Times New Roman"/>
          <w:b/>
          <w:i/>
          <w:sz w:val="28"/>
          <w:szCs w:val="28"/>
        </w:rPr>
      </w:pPr>
      <w:r w:rsidRPr="00140A44">
        <w:rPr>
          <w:rFonts w:ascii="Times New Roman" w:hAnsi="Times New Roman" w:cs="Times New Roman"/>
          <w:b/>
          <w:i/>
          <w:sz w:val="28"/>
          <w:szCs w:val="28"/>
        </w:rPr>
        <w:t>РАЗЪЯСНЕНИЕ № 10</w:t>
      </w:r>
    </w:p>
    <w:p w:rsidR="00675646" w:rsidRPr="00140A44" w:rsidRDefault="00675646" w:rsidP="00DC7159">
      <w:pPr>
        <w:spacing w:after="0" w:line="240" w:lineRule="auto"/>
        <w:jc w:val="both"/>
        <w:rPr>
          <w:rFonts w:ascii="Times New Roman" w:hAnsi="Times New Roman" w:cs="Times New Roman"/>
          <w:b/>
          <w:i/>
          <w:sz w:val="28"/>
          <w:szCs w:val="28"/>
        </w:rPr>
      </w:pPr>
    </w:p>
    <w:p w:rsidR="00B26651" w:rsidRPr="00140A44" w:rsidRDefault="00B26651" w:rsidP="00B26651">
      <w:pPr>
        <w:spacing w:after="0" w:line="240" w:lineRule="auto"/>
        <w:ind w:firstLine="709"/>
        <w:jc w:val="both"/>
        <w:rPr>
          <w:rFonts w:ascii="Times New Roman" w:hAnsi="Times New Roman" w:cs="Times New Roman"/>
          <w:b/>
          <w:i/>
          <w:sz w:val="28"/>
          <w:szCs w:val="28"/>
        </w:rPr>
      </w:pPr>
      <w:r w:rsidRPr="00140A44">
        <w:rPr>
          <w:rFonts w:ascii="Times New Roman" w:hAnsi="Times New Roman" w:cs="Times New Roman"/>
          <w:b/>
          <w:i/>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2A5CB6" w:rsidRPr="00140A44" w:rsidRDefault="00B26651" w:rsidP="00B26651">
      <w:pPr>
        <w:pStyle w:val="a3"/>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FE5600" w:rsidRPr="00140A44" w:rsidRDefault="00FE5600" w:rsidP="00B26651">
      <w:pPr>
        <w:pStyle w:val="a3"/>
        <w:ind w:firstLine="709"/>
        <w:jc w:val="both"/>
        <w:rPr>
          <w:sz w:val="28"/>
          <w:szCs w:val="28"/>
        </w:rPr>
      </w:pPr>
      <w:r w:rsidRPr="00140A44">
        <w:rPr>
          <w:sz w:val="28"/>
          <w:szCs w:val="28"/>
        </w:rPr>
        <w:lastRenderedPageBreak/>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A443B0" w:rsidRPr="00140A44" w:rsidRDefault="00FE5600" w:rsidP="00A443B0">
      <w:pPr>
        <w:pStyle w:val="a3"/>
        <w:ind w:firstLine="709"/>
        <w:jc w:val="both"/>
        <w:rPr>
          <w:sz w:val="28"/>
          <w:szCs w:val="28"/>
        </w:rPr>
      </w:pPr>
      <w:r w:rsidRPr="00140A44">
        <w:rPr>
          <w:sz w:val="28"/>
          <w:szCs w:val="28"/>
        </w:rPr>
        <w:t>- понятие порядка ценообразования;</w:t>
      </w:r>
    </w:p>
    <w:p w:rsidR="00FE5600" w:rsidRPr="00140A44" w:rsidRDefault="00FE5600" w:rsidP="00A443B0">
      <w:pPr>
        <w:pStyle w:val="a3"/>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FE5600" w:rsidRPr="00140A44" w:rsidRDefault="00FE5600" w:rsidP="00A443B0">
      <w:pPr>
        <w:pStyle w:val="a3"/>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FE5600" w:rsidRPr="00140A44" w:rsidRDefault="00FE5600" w:rsidP="00A443B0">
      <w:pPr>
        <w:pStyle w:val="a3"/>
        <w:ind w:firstLine="709"/>
        <w:jc w:val="both"/>
        <w:rPr>
          <w:sz w:val="28"/>
          <w:szCs w:val="28"/>
        </w:rPr>
      </w:pPr>
      <w:r w:rsidRPr="00140A44">
        <w:rPr>
          <w:sz w:val="28"/>
          <w:szCs w:val="28"/>
        </w:rPr>
        <w:t>- соотношение норм статей 9.21, 14.6 и 14.31 КоАП;</w:t>
      </w:r>
    </w:p>
    <w:p w:rsidR="00FE5600" w:rsidRPr="00140A44" w:rsidRDefault="00FE5600" w:rsidP="00A443B0">
      <w:pPr>
        <w:pStyle w:val="a3"/>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FE5600" w:rsidRDefault="00FE5600" w:rsidP="00DA0A71">
      <w:pPr>
        <w:pStyle w:val="a3"/>
        <w:jc w:val="both"/>
        <w:rPr>
          <w:i/>
          <w:sz w:val="28"/>
          <w:szCs w:val="28"/>
        </w:rPr>
      </w:pPr>
    </w:p>
    <w:p w:rsidR="00DA0A71" w:rsidRPr="00140A44" w:rsidRDefault="00DA0A71" w:rsidP="00DC7159">
      <w:pPr>
        <w:pStyle w:val="a3"/>
        <w:ind w:firstLine="709"/>
        <w:jc w:val="both"/>
        <w:rPr>
          <w:sz w:val="28"/>
          <w:szCs w:val="28"/>
        </w:rPr>
      </w:pPr>
      <w:r w:rsidRPr="00140A44">
        <w:rPr>
          <w:sz w:val="28"/>
          <w:szCs w:val="28"/>
        </w:rPr>
        <w:t>Как уже указывалось, особым правовым статусом и полномочиями обладает Президиум ФАС России. Далее, представляется необходимым указать на некоторые решения данного органа, как коллегиального органа внутренней апелляции ФАС.</w:t>
      </w:r>
    </w:p>
    <w:p w:rsidR="00DA0A71" w:rsidRPr="00DA0A71" w:rsidRDefault="00DA0A71" w:rsidP="00140A44">
      <w:pPr>
        <w:pStyle w:val="a3"/>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DA0A71" w:rsidRPr="00DA0A71" w:rsidRDefault="00DA0A71" w:rsidP="00DA0A71">
      <w:pPr>
        <w:pStyle w:val="a3"/>
        <w:jc w:val="both"/>
        <w:rPr>
          <w:b/>
          <w:i/>
          <w:sz w:val="28"/>
          <w:szCs w:val="28"/>
        </w:rPr>
      </w:pPr>
      <w:r w:rsidRPr="00DA0A71">
        <w:rPr>
          <w:b/>
          <w:i/>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DA0A71" w:rsidRPr="00140A44" w:rsidRDefault="00DA0A71" w:rsidP="00140A44">
      <w:pPr>
        <w:pStyle w:val="a3"/>
        <w:ind w:firstLine="709"/>
        <w:jc w:val="both"/>
        <w:rPr>
          <w:sz w:val="28"/>
          <w:szCs w:val="28"/>
        </w:rPr>
      </w:pPr>
      <w:r w:rsidRPr="00140A44">
        <w:rPr>
          <w:sz w:val="28"/>
          <w:szCs w:val="28"/>
        </w:rPr>
        <w:t xml:space="preserve">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w:t>
      </w:r>
      <w:r w:rsidRPr="00140A44">
        <w:rPr>
          <w:sz w:val="28"/>
          <w:szCs w:val="28"/>
        </w:rPr>
        <w:lastRenderedPageBreak/>
        <w:t>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DA0A71" w:rsidRPr="00140A44" w:rsidRDefault="00DA0A71" w:rsidP="00140A44">
      <w:pPr>
        <w:pStyle w:val="a3"/>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DA0A71" w:rsidRPr="00140A44" w:rsidRDefault="00DA0A71" w:rsidP="00DA0A71">
      <w:pPr>
        <w:pStyle w:val="a3"/>
        <w:jc w:val="both"/>
        <w:rPr>
          <w:sz w:val="28"/>
          <w:szCs w:val="28"/>
        </w:rPr>
      </w:pPr>
      <w:r w:rsidRPr="00140A44">
        <w:rPr>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DA0A71" w:rsidRPr="00140A44" w:rsidRDefault="00DA0A71" w:rsidP="00140A44">
      <w:pPr>
        <w:pStyle w:val="a3"/>
        <w:ind w:firstLine="709"/>
        <w:jc w:val="both"/>
        <w:rPr>
          <w:sz w:val="28"/>
          <w:szCs w:val="28"/>
        </w:rPr>
      </w:pPr>
      <w:r w:rsidRPr="00140A44">
        <w:rPr>
          <w:sz w:val="28"/>
          <w:szCs w:val="28"/>
        </w:rPr>
        <w:t xml:space="preserve">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w:t>
      </w:r>
      <w:r w:rsidRPr="00140A44">
        <w:rPr>
          <w:sz w:val="28"/>
          <w:szCs w:val="28"/>
        </w:rPr>
        <w:lastRenderedPageBreak/>
        <w:t>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DA0A71" w:rsidRPr="00140A44" w:rsidRDefault="00DA0A71" w:rsidP="00DA0A71">
      <w:pPr>
        <w:pStyle w:val="a3"/>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DA0A71" w:rsidRPr="00140A44" w:rsidRDefault="00DA0A71" w:rsidP="00140A44">
      <w:pPr>
        <w:pStyle w:val="a3"/>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DA0A71" w:rsidRPr="00DA0A71" w:rsidRDefault="00DA0A71" w:rsidP="00DA0A71">
      <w:pPr>
        <w:pStyle w:val="a3"/>
        <w:jc w:val="both"/>
        <w:rPr>
          <w:b/>
          <w:i/>
          <w:sz w:val="28"/>
          <w:szCs w:val="28"/>
        </w:rPr>
      </w:pPr>
      <w:r w:rsidRPr="00DA0A71">
        <w:rPr>
          <w:b/>
          <w:i/>
          <w:sz w:val="28"/>
          <w:szCs w:val="28"/>
        </w:rPr>
        <w:lastRenderedPageBreak/>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DA0A71" w:rsidRPr="00140A44" w:rsidRDefault="00DA0A71" w:rsidP="00140A44">
      <w:pPr>
        <w:pStyle w:val="a3"/>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DA0A71" w:rsidRPr="00140A44" w:rsidRDefault="00DA0A71" w:rsidP="00DA0A71">
      <w:pPr>
        <w:pStyle w:val="a3"/>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DA0A71" w:rsidRPr="00140A44" w:rsidRDefault="00DA0A71" w:rsidP="00140A44">
      <w:pPr>
        <w:pStyle w:val="a3"/>
        <w:ind w:firstLine="709"/>
        <w:jc w:val="both"/>
        <w:rPr>
          <w:sz w:val="28"/>
          <w:szCs w:val="28"/>
        </w:rPr>
      </w:pPr>
      <w:r w:rsidRPr="00140A44">
        <w:rPr>
          <w:sz w:val="28"/>
          <w:szCs w:val="28"/>
        </w:rPr>
        <w:t xml:space="preserve">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w:t>
      </w:r>
      <w:r w:rsidRPr="00140A44">
        <w:rPr>
          <w:sz w:val="28"/>
          <w:szCs w:val="28"/>
        </w:rPr>
        <w:lastRenderedPageBreak/>
        <w:t>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DA0A71" w:rsidRPr="00DA0A71" w:rsidRDefault="00DA0A71" w:rsidP="00DA0A71">
      <w:pPr>
        <w:pStyle w:val="a3"/>
        <w:jc w:val="both"/>
        <w:rPr>
          <w:b/>
          <w:i/>
          <w:sz w:val="28"/>
          <w:szCs w:val="28"/>
        </w:rPr>
      </w:pPr>
      <w:r w:rsidRPr="00DA0A71">
        <w:rPr>
          <w:b/>
          <w:i/>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DA0A71" w:rsidRPr="00140A44" w:rsidRDefault="00DA0A71" w:rsidP="00140A44">
      <w:pPr>
        <w:pStyle w:val="a3"/>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DA0A71" w:rsidRPr="00140A44" w:rsidRDefault="00DA0A71" w:rsidP="00140A44">
      <w:pPr>
        <w:pStyle w:val="a3"/>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DA0A71" w:rsidRPr="00140A44" w:rsidRDefault="00DA0A71" w:rsidP="00DA0A71">
      <w:pPr>
        <w:pStyle w:val="a3"/>
        <w:jc w:val="both"/>
        <w:rPr>
          <w:sz w:val="28"/>
          <w:szCs w:val="28"/>
        </w:rPr>
      </w:pPr>
      <w:r w:rsidRPr="00140A44">
        <w:rPr>
          <w:sz w:val="28"/>
          <w:szCs w:val="28"/>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DA0A71" w:rsidRPr="00140A44" w:rsidRDefault="00DA0A71" w:rsidP="00DA0A71">
      <w:pPr>
        <w:pStyle w:val="a3"/>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DA0A71" w:rsidRPr="00140A44" w:rsidRDefault="00DA0A71" w:rsidP="00DA0A71">
      <w:pPr>
        <w:pStyle w:val="a3"/>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DA0A71" w:rsidRPr="00DA0A71" w:rsidRDefault="00DA0A71" w:rsidP="00DA0A71">
      <w:pPr>
        <w:pStyle w:val="a3"/>
        <w:jc w:val="both"/>
        <w:rPr>
          <w:i/>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DA0A71">
        <w:rPr>
          <w:i/>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DA0A71" w:rsidRPr="00140A44" w:rsidRDefault="00DA0A71" w:rsidP="00DA0A71">
      <w:pPr>
        <w:pStyle w:val="a3"/>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Единственным учредителем предприятия-должника ООО «Карбон», в рамках процедуры банкротства которого проводились торги по реализации </w:t>
      </w:r>
      <w:r w:rsidRPr="00140A44">
        <w:rPr>
          <w:sz w:val="28"/>
          <w:szCs w:val="28"/>
        </w:rPr>
        <w:lastRenderedPageBreak/>
        <w:t>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DA0A71" w:rsidRPr="00140A44" w:rsidRDefault="00DA0A71" w:rsidP="00DA0A71">
      <w:pPr>
        <w:pStyle w:val="a3"/>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Следовательно, Зюзько М.Б. входит в одну группу лиц с ООО «Карбон»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DA0A71" w:rsidRPr="00140A44" w:rsidRDefault="00DA0A71" w:rsidP="00DA0A71">
      <w:pPr>
        <w:pStyle w:val="a3"/>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DA0A71" w:rsidRPr="00140A44" w:rsidRDefault="00DA0A71" w:rsidP="00DA0A71">
      <w:pPr>
        <w:pStyle w:val="a3"/>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DA0A71" w:rsidRPr="00140A44" w:rsidRDefault="00DA0A71" w:rsidP="00DA0A71">
      <w:pPr>
        <w:pStyle w:val="a3"/>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w:t>
      </w:r>
      <w:r w:rsidRPr="00140A44">
        <w:rPr>
          <w:sz w:val="28"/>
          <w:szCs w:val="28"/>
        </w:rPr>
        <w:lastRenderedPageBreak/>
        <w:t xml:space="preserve">что является нарушением пункта 2 части 1 статьи 17 Закона о защите конкуренции. </w:t>
      </w:r>
    </w:p>
    <w:p w:rsidR="00DA0A71" w:rsidRPr="00140A44" w:rsidRDefault="00DA0A71" w:rsidP="00DA0A71">
      <w:pPr>
        <w:pStyle w:val="a3"/>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DA0A71" w:rsidRPr="00140A44" w:rsidRDefault="00DA0A71" w:rsidP="00DA0A71">
      <w:pPr>
        <w:pStyle w:val="a3"/>
        <w:jc w:val="both"/>
        <w:rPr>
          <w:sz w:val="28"/>
          <w:szCs w:val="28"/>
        </w:rPr>
      </w:pPr>
      <w:r w:rsidRPr="00140A44">
        <w:rPr>
          <w:sz w:val="28"/>
          <w:szCs w:val="28"/>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sidR="00140A44">
        <w:rPr>
          <w:sz w:val="28"/>
          <w:szCs w:val="28"/>
        </w:rPr>
        <w:t>17 Закона о защите конкуренции.</w:t>
      </w:r>
    </w:p>
    <w:p w:rsidR="00DA0A71" w:rsidRPr="00DA0A71" w:rsidRDefault="00DA0A71" w:rsidP="00DA0A71">
      <w:pPr>
        <w:pStyle w:val="a3"/>
        <w:jc w:val="both"/>
        <w:rPr>
          <w:b/>
          <w:i/>
          <w:sz w:val="28"/>
          <w:szCs w:val="28"/>
        </w:rPr>
      </w:pPr>
      <w:r w:rsidRPr="00DA0A71">
        <w:rPr>
          <w:b/>
          <w:i/>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DA0A71" w:rsidRPr="00140A44" w:rsidRDefault="00DA0A71" w:rsidP="00140A44">
      <w:pPr>
        <w:pStyle w:val="a3"/>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DA0A71" w:rsidRPr="00140A44" w:rsidRDefault="00DA0A71" w:rsidP="00DA0A71">
      <w:pPr>
        <w:pStyle w:val="a3"/>
        <w:jc w:val="both"/>
        <w:rPr>
          <w:sz w:val="28"/>
          <w:szCs w:val="28"/>
        </w:rPr>
      </w:pPr>
      <w:r w:rsidRPr="00140A44">
        <w:rPr>
          <w:sz w:val="28"/>
          <w:szCs w:val="28"/>
        </w:rPr>
        <w:lastRenderedPageBreak/>
        <w:t>В рамках данного дела Апелляционная коллегия ФАС России пришла к следующим выводам.</w:t>
      </w:r>
    </w:p>
    <w:p w:rsidR="00DA0A71" w:rsidRPr="00140A44" w:rsidRDefault="00DA0A71" w:rsidP="00140A44">
      <w:pPr>
        <w:pStyle w:val="a3"/>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DA0A71" w:rsidRPr="00140A44" w:rsidRDefault="00DA0A71" w:rsidP="00140A44">
      <w:pPr>
        <w:pStyle w:val="a3"/>
        <w:ind w:firstLine="709"/>
        <w:jc w:val="both"/>
        <w:rPr>
          <w:sz w:val="28"/>
          <w:szCs w:val="28"/>
        </w:rPr>
      </w:pPr>
      <w:r w:rsidRPr="00140A44">
        <w:rPr>
          <w:sz w:val="28"/>
          <w:szCs w:val="28"/>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DA0A71" w:rsidRPr="00140A44" w:rsidRDefault="00DA0A71" w:rsidP="00140A44">
      <w:pPr>
        <w:pStyle w:val="a3"/>
        <w:ind w:firstLine="709"/>
        <w:jc w:val="both"/>
        <w:rPr>
          <w:sz w:val="28"/>
          <w:szCs w:val="28"/>
        </w:rPr>
      </w:pPr>
      <w:r w:rsidRPr="00140A44">
        <w:rPr>
          <w:iCs/>
          <w:sz w:val="28"/>
          <w:szCs w:val="28"/>
        </w:rPr>
        <w:t xml:space="preserve">Решением Новосибирского УФАС России в действиях </w:t>
      </w:r>
      <w:r w:rsidRPr="00140A44">
        <w:rPr>
          <w:sz w:val="28"/>
          <w:szCs w:val="28"/>
        </w:rPr>
        <w:t>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«Успех»</w:t>
      </w:r>
      <w:r w:rsidRPr="00140A44">
        <w:rPr>
          <w:b/>
          <w:sz w:val="28"/>
          <w:szCs w:val="28"/>
        </w:rPr>
        <w:t xml:space="preserve"> </w:t>
      </w:r>
      <w:r w:rsidRPr="00140A44">
        <w:rPr>
          <w:sz w:val="28"/>
          <w:szCs w:val="28"/>
        </w:rPr>
        <w:t xml:space="preserve">на решение и предписание № 2 УФАС России по Новосибирской области от </w:t>
      </w:r>
      <w:r w:rsidRPr="00140A44">
        <w:rPr>
          <w:sz w:val="28"/>
          <w:szCs w:val="28"/>
        </w:rPr>
        <w:lastRenderedPageBreak/>
        <w:t>28.10.2016 по делу о нарушении антимонопольного законодательства № 06-01-12-14-16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b/>
          <w:sz w:val="28"/>
          <w:szCs w:val="28"/>
        </w:rPr>
      </w:pPr>
      <w:r w:rsidRPr="00140A44">
        <w:rPr>
          <w:sz w:val="28"/>
          <w:szCs w:val="28"/>
        </w:rPr>
        <w:t>1)</w:t>
      </w:r>
      <w:r w:rsidRPr="00140A44">
        <w:rPr>
          <w:b/>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DA0A71" w:rsidRPr="00140A44" w:rsidRDefault="00DA0A71" w:rsidP="00DA0A71">
      <w:pPr>
        <w:pStyle w:val="a3"/>
        <w:jc w:val="both"/>
        <w:rPr>
          <w:b/>
          <w:sz w:val="28"/>
          <w:szCs w:val="28"/>
        </w:rPr>
      </w:pPr>
      <w:r w:rsidRPr="00140A44">
        <w:rPr>
          <w:sz w:val="28"/>
          <w:szCs w:val="28"/>
        </w:rPr>
        <w:t>2)</w:t>
      </w:r>
      <w:r w:rsidRPr="00140A44">
        <w:rPr>
          <w:b/>
          <w:sz w:val="28"/>
          <w:szCs w:val="28"/>
        </w:rPr>
        <w:t xml:space="preserve"> </w:t>
      </w:r>
      <w:r w:rsidRPr="00140A44">
        <w:rPr>
          <w:sz w:val="28"/>
          <w:szCs w:val="28"/>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DA0A71" w:rsidRPr="00140A44" w:rsidRDefault="00DA0A71" w:rsidP="00DA0A71">
      <w:pPr>
        <w:pStyle w:val="a3"/>
        <w:jc w:val="both"/>
        <w:rPr>
          <w:b/>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DA0A71" w:rsidRPr="00140A44" w:rsidRDefault="00DA0A71" w:rsidP="00DA0A71">
      <w:pPr>
        <w:pStyle w:val="a3"/>
        <w:jc w:val="both"/>
        <w:rPr>
          <w:sz w:val="28"/>
          <w:szCs w:val="28"/>
        </w:rPr>
      </w:pPr>
      <w:r w:rsidRPr="00140A44">
        <w:rPr>
          <w:sz w:val="28"/>
          <w:szCs w:val="28"/>
        </w:rPr>
        <w:t>- экспертное заключение патентного поверенного;</w:t>
      </w:r>
    </w:p>
    <w:p w:rsidR="00DA0A71" w:rsidRPr="00140A44" w:rsidRDefault="00DA0A71" w:rsidP="00DA0A71">
      <w:pPr>
        <w:pStyle w:val="a3"/>
        <w:jc w:val="both"/>
        <w:rPr>
          <w:sz w:val="28"/>
          <w:szCs w:val="28"/>
        </w:rPr>
      </w:pPr>
      <w:r w:rsidRPr="00140A44">
        <w:rPr>
          <w:sz w:val="28"/>
          <w:szCs w:val="28"/>
        </w:rPr>
        <w:t>- справка ФИПС;</w:t>
      </w:r>
    </w:p>
    <w:p w:rsidR="00DA0A71" w:rsidRPr="00140A44" w:rsidRDefault="00DA0A71" w:rsidP="00DA0A71">
      <w:pPr>
        <w:pStyle w:val="a3"/>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DA0A71" w:rsidRPr="00140A44" w:rsidRDefault="00DA0A71" w:rsidP="00DA0A71">
      <w:pPr>
        <w:pStyle w:val="a3"/>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DA0A71" w:rsidRPr="00140A44" w:rsidRDefault="00DA0A71" w:rsidP="00140A44">
      <w:pPr>
        <w:pStyle w:val="a3"/>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DA0A71" w:rsidRPr="00140A44" w:rsidRDefault="00DA0A71" w:rsidP="00DA0A71">
      <w:pPr>
        <w:pStyle w:val="a3"/>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Положения пункта 2 части 1 статьи 11 Закона о защите конкуренции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DA0A71" w:rsidRPr="00140A44" w:rsidRDefault="00DA0A71" w:rsidP="00DA0A71">
      <w:pPr>
        <w:pStyle w:val="a3"/>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DA0A71" w:rsidRPr="00140A44" w:rsidRDefault="00DA0A71" w:rsidP="00DA0A71">
      <w:pPr>
        <w:pStyle w:val="a3"/>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 xml:space="preserve">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w:t>
      </w:r>
      <w:r w:rsidRPr="00DA0A71">
        <w:rPr>
          <w:b/>
          <w:i/>
          <w:sz w:val="28"/>
          <w:szCs w:val="28"/>
        </w:rPr>
        <w:lastRenderedPageBreak/>
        <w:t>антимонопольного законодательства № 04-52к/2015 (далее — решение Калужского УФАС России).</w:t>
      </w:r>
    </w:p>
    <w:p w:rsidR="00DA0A71" w:rsidRPr="00140A44" w:rsidRDefault="00DA0A71" w:rsidP="00140A44">
      <w:pPr>
        <w:pStyle w:val="a3"/>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CE0D72">
      <w:pPr>
        <w:pStyle w:val="a3"/>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DA0A71" w:rsidRPr="00140A44" w:rsidRDefault="00DA0A71" w:rsidP="00CE0D72">
      <w:pPr>
        <w:pStyle w:val="a3"/>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DA0A71" w:rsidRPr="004F08F6" w:rsidRDefault="00981810" w:rsidP="00CE0D72">
      <w:pPr>
        <w:pStyle w:val="a3"/>
        <w:ind w:firstLine="709"/>
        <w:jc w:val="both"/>
        <w:rPr>
          <w:b/>
          <w:sz w:val="28"/>
          <w:szCs w:val="28"/>
        </w:rPr>
      </w:pPr>
      <w:r w:rsidRPr="004F08F6">
        <w:rPr>
          <w:b/>
          <w:sz w:val="28"/>
          <w:szCs w:val="28"/>
        </w:rPr>
        <w:t>Реформа контрольно-надзорной деятельности и р</w:t>
      </w:r>
      <w:r w:rsidR="00DA0A71" w:rsidRPr="004F08F6">
        <w:rPr>
          <w:b/>
          <w:sz w:val="28"/>
          <w:szCs w:val="28"/>
        </w:rPr>
        <w:t>иск-ориентированный подход при организации отдельных видов контроля (надзора) в сфере антимонопольного регулирования.</w:t>
      </w:r>
    </w:p>
    <w:p w:rsidR="00981810" w:rsidRPr="00140A44" w:rsidRDefault="00981810" w:rsidP="00CE0D72">
      <w:pPr>
        <w:pStyle w:val="a3"/>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81810" w:rsidRPr="00140A44" w:rsidRDefault="00981810" w:rsidP="00981810">
      <w:pPr>
        <w:pStyle w:val="a3"/>
        <w:jc w:val="both"/>
        <w:rPr>
          <w:sz w:val="28"/>
          <w:szCs w:val="28"/>
        </w:rPr>
      </w:pPr>
      <w:r w:rsidRPr="00140A44">
        <w:rPr>
          <w:sz w:val="28"/>
          <w:szCs w:val="28"/>
        </w:rPr>
        <w:lastRenderedPageBreak/>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981810" w:rsidRPr="00140A44" w:rsidRDefault="00981810" w:rsidP="00981810">
      <w:pPr>
        <w:pStyle w:val="a3"/>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981810" w:rsidRPr="00140A44" w:rsidRDefault="00981810" w:rsidP="00981810">
      <w:pPr>
        <w:pStyle w:val="a3"/>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81810" w:rsidRPr="00140A44" w:rsidRDefault="00981810" w:rsidP="00CE0D72">
      <w:pPr>
        <w:pStyle w:val="a3"/>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981810" w:rsidRPr="00140A44" w:rsidRDefault="00981810" w:rsidP="00981810">
      <w:pPr>
        <w:pStyle w:val="a3"/>
        <w:jc w:val="both"/>
        <w:rPr>
          <w:sz w:val="28"/>
          <w:szCs w:val="28"/>
        </w:rPr>
      </w:pPr>
      <w:r w:rsidRPr="00140A44">
        <w:rPr>
          <w:sz w:val="28"/>
          <w:szCs w:val="28"/>
        </w:rPr>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981810" w:rsidRPr="00140A44" w:rsidRDefault="00981810" w:rsidP="00981810">
      <w:pPr>
        <w:pStyle w:val="a3"/>
        <w:jc w:val="both"/>
        <w:rPr>
          <w:sz w:val="28"/>
          <w:szCs w:val="28"/>
        </w:rPr>
      </w:pPr>
      <w:r w:rsidRPr="00140A44">
        <w:rPr>
          <w:sz w:val="28"/>
          <w:szCs w:val="28"/>
        </w:rPr>
        <w:tab/>
      </w:r>
      <w:r w:rsidR="004F08F6">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981810" w:rsidRPr="00140A44" w:rsidRDefault="00981810" w:rsidP="00CE0D72">
      <w:pPr>
        <w:pStyle w:val="a3"/>
        <w:ind w:firstLine="709"/>
        <w:jc w:val="both"/>
        <w:rPr>
          <w:sz w:val="28"/>
          <w:szCs w:val="28"/>
        </w:rPr>
      </w:pPr>
      <w:r w:rsidRPr="00140A44">
        <w:rPr>
          <w:sz w:val="28"/>
          <w:szCs w:val="28"/>
        </w:rPr>
        <w:lastRenderedPageBreak/>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981810" w:rsidRPr="00140A44" w:rsidRDefault="00981810" w:rsidP="00CE0D72">
      <w:pPr>
        <w:pStyle w:val="a3"/>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981810" w:rsidRPr="00140A44" w:rsidRDefault="00981810" w:rsidP="00CE0D72">
      <w:pPr>
        <w:pStyle w:val="a3"/>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981810" w:rsidRPr="00140A44" w:rsidRDefault="00981810" w:rsidP="00CE0D72">
      <w:pPr>
        <w:pStyle w:val="a3"/>
        <w:ind w:firstLine="709"/>
        <w:jc w:val="both"/>
        <w:rPr>
          <w:sz w:val="28"/>
          <w:szCs w:val="28"/>
        </w:rPr>
      </w:pPr>
      <w:r w:rsidRPr="00140A44">
        <w:rPr>
          <w:sz w:val="28"/>
          <w:szCs w:val="28"/>
        </w:rPr>
        <w:t>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981810" w:rsidRPr="00140A44" w:rsidRDefault="00981810" w:rsidP="00981810">
      <w:pPr>
        <w:pStyle w:val="a3"/>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981810" w:rsidRPr="00140A44" w:rsidRDefault="00981810" w:rsidP="00981810">
      <w:pPr>
        <w:pStyle w:val="a3"/>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981810" w:rsidRPr="00140A44" w:rsidRDefault="00981810" w:rsidP="00981810">
      <w:pPr>
        <w:pStyle w:val="a3"/>
        <w:jc w:val="both"/>
        <w:rPr>
          <w:sz w:val="28"/>
          <w:szCs w:val="28"/>
        </w:rPr>
      </w:pPr>
      <w:r w:rsidRPr="00140A44">
        <w:rPr>
          <w:sz w:val="28"/>
          <w:szCs w:val="28"/>
        </w:rPr>
        <w:lastRenderedPageBreak/>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981810" w:rsidRPr="00140A44" w:rsidRDefault="00981810" w:rsidP="00981810">
      <w:pPr>
        <w:pStyle w:val="a3"/>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981810" w:rsidRPr="00140A44" w:rsidRDefault="00981810" w:rsidP="00981810">
      <w:pPr>
        <w:pStyle w:val="a3"/>
        <w:jc w:val="both"/>
        <w:rPr>
          <w:sz w:val="28"/>
          <w:szCs w:val="28"/>
        </w:rPr>
      </w:pPr>
      <w:r w:rsidRPr="00140A44">
        <w:rPr>
          <w:sz w:val="28"/>
          <w:szCs w:val="28"/>
        </w:rPr>
        <w:tab/>
        <w:t>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указанному плану-графику в 2017 году на территории Российской Федерации проведено 239 мероприятий с подконтрольными субъектами.</w:t>
      </w:r>
    </w:p>
    <w:p w:rsidR="00981810" w:rsidRPr="00140A44" w:rsidRDefault="00981810" w:rsidP="00981810">
      <w:pPr>
        <w:pStyle w:val="a3"/>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981810" w:rsidRPr="00140A44" w:rsidRDefault="00981810" w:rsidP="00981810">
      <w:pPr>
        <w:pStyle w:val="a3"/>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981810" w:rsidRPr="00140A44" w:rsidRDefault="00981810" w:rsidP="00981810">
      <w:pPr>
        <w:pStyle w:val="a3"/>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981810" w:rsidRPr="00140A44" w:rsidRDefault="00981810" w:rsidP="00981810">
      <w:pPr>
        <w:pStyle w:val="a3"/>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981810" w:rsidRPr="00140A44" w:rsidRDefault="00981810" w:rsidP="00981810">
      <w:pPr>
        <w:pStyle w:val="a3"/>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w:t>
      </w:r>
      <w:r w:rsidRPr="00140A44">
        <w:rPr>
          <w:sz w:val="28"/>
          <w:szCs w:val="28"/>
        </w:rPr>
        <w:lastRenderedPageBreak/>
        <w:t xml:space="preserve">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981810" w:rsidRPr="00140A44" w:rsidRDefault="00981810" w:rsidP="00981810">
      <w:pPr>
        <w:pStyle w:val="a3"/>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981810" w:rsidRPr="00140A44" w:rsidRDefault="00981810" w:rsidP="00981810">
      <w:pPr>
        <w:pStyle w:val="a3"/>
        <w:jc w:val="both"/>
        <w:rPr>
          <w:sz w:val="28"/>
          <w:szCs w:val="28"/>
        </w:rPr>
      </w:pPr>
      <w:r w:rsidRPr="00140A44">
        <w:rPr>
          <w:sz w:val="28"/>
          <w:szCs w:val="28"/>
        </w:rPr>
        <w:tab/>
        <w:t xml:space="preserve">В ФАС России эффективно функционирует Общественная приемная. </w:t>
      </w:r>
    </w:p>
    <w:p w:rsidR="00981810" w:rsidRPr="00140A44" w:rsidRDefault="00981810" w:rsidP="00CE0D72">
      <w:pPr>
        <w:pStyle w:val="a3"/>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981810" w:rsidRPr="00140A44" w:rsidRDefault="00981810" w:rsidP="00CE0D72">
      <w:pPr>
        <w:pStyle w:val="a3"/>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981810" w:rsidRPr="00140A44" w:rsidRDefault="00981810" w:rsidP="00981810">
      <w:pPr>
        <w:pStyle w:val="a3"/>
        <w:jc w:val="both"/>
        <w:rPr>
          <w:sz w:val="28"/>
          <w:szCs w:val="28"/>
        </w:rPr>
      </w:pPr>
      <w:r w:rsidRPr="00140A44">
        <w:rPr>
          <w:sz w:val="28"/>
          <w:szCs w:val="28"/>
        </w:rPr>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981810" w:rsidRPr="00140A44" w:rsidRDefault="00981810" w:rsidP="00981810">
      <w:pPr>
        <w:pStyle w:val="a3"/>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981810" w:rsidRPr="00140A44" w:rsidRDefault="00981810" w:rsidP="00981810">
      <w:pPr>
        <w:pStyle w:val="a3"/>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981810" w:rsidRPr="00140A44" w:rsidRDefault="00981810" w:rsidP="00981810">
      <w:pPr>
        <w:pStyle w:val="a3"/>
        <w:ind w:firstLine="709"/>
        <w:jc w:val="both"/>
        <w:rPr>
          <w:sz w:val="28"/>
          <w:szCs w:val="28"/>
        </w:rPr>
      </w:pPr>
      <w:r w:rsidRPr="00140A44">
        <w:rPr>
          <w:sz w:val="28"/>
          <w:szCs w:val="28"/>
        </w:rPr>
        <w:lastRenderedPageBreak/>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981810" w:rsidRPr="00140A44" w:rsidRDefault="00981810" w:rsidP="00981810">
      <w:pPr>
        <w:pStyle w:val="a3"/>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981810" w:rsidRPr="00140A44" w:rsidRDefault="00981810" w:rsidP="00981810">
      <w:pPr>
        <w:pStyle w:val="a3"/>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981810" w:rsidRPr="00140A44" w:rsidRDefault="00981810" w:rsidP="00981810">
      <w:pPr>
        <w:pStyle w:val="a3"/>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981810" w:rsidRPr="00140A44" w:rsidRDefault="00981810" w:rsidP="00981810">
      <w:pPr>
        <w:pStyle w:val="a3"/>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7B3AB0" w:rsidRPr="00140A44" w:rsidRDefault="00981810" w:rsidP="007B3AB0">
      <w:pPr>
        <w:pStyle w:val="a3"/>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FA1871" w:rsidRPr="004F08F6" w:rsidRDefault="000F3C00" w:rsidP="007B3AB0">
      <w:pPr>
        <w:pStyle w:val="a3"/>
        <w:ind w:firstLine="709"/>
        <w:jc w:val="both"/>
        <w:rPr>
          <w:b/>
          <w:sz w:val="28"/>
          <w:szCs w:val="28"/>
        </w:rPr>
      </w:pPr>
      <w:r w:rsidRPr="004F08F6">
        <w:rPr>
          <w:b/>
          <w:sz w:val="28"/>
          <w:szCs w:val="28"/>
        </w:rPr>
        <w:t>О нормотворческой деятельности.</w:t>
      </w:r>
    </w:p>
    <w:p w:rsidR="007B3AB0" w:rsidRPr="007B3AB0" w:rsidRDefault="007B3AB0" w:rsidP="007B3AB0">
      <w:pPr>
        <w:pStyle w:val="a3"/>
        <w:ind w:firstLine="709"/>
        <w:jc w:val="both"/>
        <w:rPr>
          <w:i/>
          <w:sz w:val="28"/>
          <w:szCs w:val="28"/>
        </w:rPr>
      </w:pPr>
      <w:r>
        <w:rPr>
          <w:b/>
          <w:i/>
          <w:sz w:val="28"/>
          <w:szCs w:val="28"/>
        </w:rPr>
        <w:t>«Антимонопольный комплаенс».</w:t>
      </w:r>
    </w:p>
    <w:p w:rsidR="00B411B1" w:rsidRPr="001E6FC7" w:rsidRDefault="00B411B1" w:rsidP="007B3AB0">
      <w:pPr>
        <w:pStyle w:val="a3"/>
        <w:ind w:firstLine="709"/>
        <w:jc w:val="both"/>
        <w:rPr>
          <w:sz w:val="28"/>
          <w:szCs w:val="28"/>
        </w:rPr>
      </w:pPr>
      <w:r w:rsidRPr="001E6FC7">
        <w:rPr>
          <w:sz w:val="28"/>
          <w:szCs w:val="28"/>
        </w:rPr>
        <w:t xml:space="preserve">Федеральной антимонопольной службой разработан Проект федерального закона «О внесении изменений в Федеральный закон «О защите </w:t>
      </w:r>
      <w:r w:rsidRPr="001E6FC7">
        <w:rPr>
          <w:sz w:val="28"/>
          <w:szCs w:val="28"/>
        </w:rPr>
        <w:lastRenderedPageBreak/>
        <w:t>конкуренции» и Кодекс Российской Федерации об административных правонарушениях» (далее - Законопроект).</w:t>
      </w:r>
    </w:p>
    <w:p w:rsidR="00B411B1" w:rsidRPr="001E6FC7" w:rsidRDefault="00B411B1" w:rsidP="003C5A54">
      <w:pPr>
        <w:pStyle w:val="a3"/>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B411B1" w:rsidRPr="001E6FC7" w:rsidRDefault="00B411B1" w:rsidP="003C5A54">
      <w:pPr>
        <w:pStyle w:val="a3"/>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B411B1" w:rsidRPr="001E6FC7" w:rsidRDefault="00B411B1" w:rsidP="003C5A54">
      <w:pPr>
        <w:pStyle w:val="a3"/>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B411B1" w:rsidRPr="001E6FC7" w:rsidRDefault="007B3AB0" w:rsidP="003C5A54">
      <w:pPr>
        <w:pStyle w:val="a3"/>
        <w:ind w:firstLine="709"/>
        <w:jc w:val="both"/>
        <w:rPr>
          <w:sz w:val="28"/>
          <w:szCs w:val="28"/>
        </w:rPr>
      </w:pPr>
      <w:r w:rsidRPr="001E6FC7">
        <w:rPr>
          <w:sz w:val="28"/>
          <w:szCs w:val="28"/>
        </w:rPr>
        <w:t>Кроме того, д</w:t>
      </w:r>
      <w:r w:rsidR="00B411B1" w:rsidRPr="001E6FC7">
        <w:rPr>
          <w:sz w:val="28"/>
          <w:szCs w:val="28"/>
        </w:rPr>
        <w:t>ополнительным</w:t>
      </w:r>
      <w:r w:rsidRPr="001E6FC7">
        <w:rPr>
          <w:sz w:val="28"/>
          <w:szCs w:val="28"/>
        </w:rPr>
        <w:t xml:space="preserve"> </w:t>
      </w:r>
      <w:r w:rsidR="00B411B1" w:rsidRPr="001E6FC7">
        <w:rPr>
          <w:sz w:val="28"/>
          <w:szCs w:val="28"/>
        </w:rPr>
        <w:t xml:space="preserve">инструментом </w:t>
      </w:r>
      <w:r w:rsidR="00B411B1" w:rsidRPr="001E6FC7">
        <w:rPr>
          <w:b/>
          <w:sz w:val="28"/>
          <w:szCs w:val="28"/>
        </w:rPr>
        <w:t>предотвращения</w:t>
      </w:r>
      <w:r w:rsidR="00B411B1"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B411B1" w:rsidRPr="001E6FC7" w:rsidRDefault="00B411B1" w:rsidP="003C5A54">
      <w:pPr>
        <w:pStyle w:val="a3"/>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B411B1" w:rsidRPr="001E6FC7" w:rsidRDefault="00B411B1" w:rsidP="000F3C00">
      <w:pPr>
        <w:pStyle w:val="a3"/>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B411B1" w:rsidRPr="001E6FC7" w:rsidRDefault="00B411B1" w:rsidP="000F3C00">
      <w:pPr>
        <w:pStyle w:val="a3"/>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r>
      <w:r w:rsidRPr="001E6FC7">
        <w:rPr>
          <w:sz w:val="28"/>
          <w:szCs w:val="28"/>
        </w:rPr>
        <w:lastRenderedPageBreak/>
        <w:t>а также определить основные (минимальные) требования к содержанию «антимонопольного комплаенса».</w:t>
      </w:r>
    </w:p>
    <w:p w:rsidR="00B411B1" w:rsidRPr="001E6FC7" w:rsidRDefault="00B411B1" w:rsidP="007B3AB0">
      <w:pPr>
        <w:pStyle w:val="a3"/>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B411B1" w:rsidRPr="001E6FC7" w:rsidRDefault="00B411B1" w:rsidP="007B3AB0">
      <w:pPr>
        <w:pStyle w:val="a3"/>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7B3AB0" w:rsidRPr="001E6FC7" w:rsidRDefault="007B3AB0" w:rsidP="007B3AB0">
      <w:pPr>
        <w:pStyle w:val="a3"/>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7B3AB0" w:rsidRPr="001E6FC7" w:rsidRDefault="007B3AB0" w:rsidP="007B3AB0">
      <w:pPr>
        <w:pStyle w:val="a3"/>
        <w:ind w:firstLine="709"/>
        <w:jc w:val="both"/>
        <w:rPr>
          <w:sz w:val="28"/>
          <w:szCs w:val="28"/>
        </w:rPr>
      </w:pPr>
      <w:r w:rsidRPr="001E6FC7">
        <w:rPr>
          <w:sz w:val="28"/>
          <w:szCs w:val="28"/>
        </w:rPr>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7B3AB0" w:rsidRPr="001E6FC7" w:rsidRDefault="007B3AB0" w:rsidP="007B3AB0">
      <w:pPr>
        <w:pStyle w:val="a3"/>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7B3AB0" w:rsidRPr="007B3AB0" w:rsidRDefault="007B3AB0" w:rsidP="007B3AB0">
      <w:pPr>
        <w:pStyle w:val="a3"/>
        <w:ind w:firstLine="709"/>
        <w:jc w:val="both"/>
        <w:rPr>
          <w:i/>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B411B1" w:rsidRPr="00B411B1" w:rsidRDefault="007B3AB0" w:rsidP="003C5A54">
      <w:pPr>
        <w:pStyle w:val="a3"/>
        <w:jc w:val="both"/>
        <w:rPr>
          <w:b/>
          <w:i/>
          <w:sz w:val="28"/>
          <w:szCs w:val="28"/>
        </w:rPr>
      </w:pPr>
      <w:r w:rsidRPr="00B411B1">
        <w:rPr>
          <w:b/>
          <w:i/>
          <w:sz w:val="28"/>
          <w:szCs w:val="28"/>
        </w:rPr>
        <w:t xml:space="preserve"> </w:t>
      </w:r>
      <w:r w:rsidR="00B411B1" w:rsidRPr="00B411B1">
        <w:rPr>
          <w:b/>
          <w:i/>
          <w:sz w:val="28"/>
          <w:szCs w:val="28"/>
        </w:rPr>
        <w:t>«Введение антимонопольного контроля за созданием государственных и муниципальных унитарных предприятий»</w:t>
      </w:r>
      <w:r w:rsidR="0034379F">
        <w:rPr>
          <w:b/>
          <w:i/>
          <w:sz w:val="28"/>
          <w:szCs w:val="28"/>
        </w:rPr>
        <w:t>.</w:t>
      </w:r>
    </w:p>
    <w:p w:rsidR="00B411B1" w:rsidRPr="001E6FC7" w:rsidRDefault="00B411B1" w:rsidP="003C5A54">
      <w:pPr>
        <w:pStyle w:val="a3"/>
        <w:ind w:firstLine="709"/>
        <w:jc w:val="both"/>
        <w:rPr>
          <w:sz w:val="28"/>
          <w:szCs w:val="28"/>
        </w:rPr>
      </w:pPr>
      <w:r w:rsidRPr="00B411B1">
        <w:rPr>
          <w:b/>
          <w:sz w:val="28"/>
          <w:szCs w:val="28"/>
        </w:rPr>
        <w:lastRenderedPageBreak/>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B411B1" w:rsidRPr="001E6FC7" w:rsidRDefault="00B411B1" w:rsidP="00DC7159">
      <w:pPr>
        <w:pStyle w:val="a3"/>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B411B1" w:rsidRPr="001E6FC7" w:rsidRDefault="00B411B1" w:rsidP="00DC7159">
      <w:pPr>
        <w:pStyle w:val="a3"/>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предусматривается выдача согласия антимонопольного органа в письменной форме на создание, в том числе 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B411B1" w:rsidRPr="001E6FC7" w:rsidRDefault="00B411B1" w:rsidP="00DC7159">
      <w:pPr>
        <w:pStyle w:val="a3"/>
        <w:ind w:firstLine="709"/>
        <w:jc w:val="both"/>
        <w:rPr>
          <w:sz w:val="28"/>
          <w:szCs w:val="28"/>
        </w:rPr>
      </w:pPr>
      <w:r w:rsidRPr="001E6FC7">
        <w:rPr>
          <w:sz w:val="28"/>
          <w:szCs w:val="28"/>
        </w:rPr>
        <w:t>Выдачу согласия планируется производить в заявительном порядке.</w:t>
      </w:r>
    </w:p>
    <w:p w:rsidR="00B411B1" w:rsidRPr="001E6FC7" w:rsidRDefault="00B411B1" w:rsidP="00DC7159">
      <w:pPr>
        <w:pStyle w:val="a3"/>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B411B1" w:rsidRPr="00B411B1" w:rsidRDefault="00B411B1" w:rsidP="003C5A54">
      <w:pPr>
        <w:pStyle w:val="a3"/>
        <w:jc w:val="both"/>
        <w:rPr>
          <w:b/>
          <w:i/>
          <w:sz w:val="28"/>
          <w:szCs w:val="28"/>
        </w:rPr>
      </w:pPr>
      <w:r w:rsidRPr="00B411B1">
        <w:rPr>
          <w:b/>
          <w:i/>
          <w:sz w:val="28"/>
          <w:szCs w:val="28"/>
        </w:rPr>
        <w:t xml:space="preserve"> «Распространение требований антимонопольного законодательства на результаты интеллектуальной деятельности»</w:t>
      </w:r>
    </w:p>
    <w:p w:rsidR="00B411B1" w:rsidRPr="001E6FC7" w:rsidRDefault="00B411B1" w:rsidP="008848A2">
      <w:pPr>
        <w:pStyle w:val="a3"/>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B411B1" w:rsidRPr="001E6FC7" w:rsidRDefault="00B411B1" w:rsidP="008848A2">
      <w:pPr>
        <w:pStyle w:val="a3"/>
        <w:ind w:firstLine="709"/>
        <w:jc w:val="both"/>
        <w:rPr>
          <w:sz w:val="28"/>
          <w:szCs w:val="28"/>
        </w:rPr>
      </w:pPr>
      <w:r w:rsidRPr="001E6FC7">
        <w:rPr>
          <w:sz w:val="28"/>
          <w:szCs w:val="28"/>
        </w:rPr>
        <w:t xml:space="preserve">В настоящее время положениями Федерального закона от 26.07.2006 №135-Ф3 «О защите конкуренции» (далее - Закон о защите конкуренции) </w:t>
      </w:r>
      <w:r w:rsidRPr="001E6FC7">
        <w:rPr>
          <w:sz w:val="28"/>
          <w:szCs w:val="28"/>
        </w:rPr>
        <w:lastRenderedPageBreak/>
        <w:t>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B411B1" w:rsidRPr="001E6FC7" w:rsidRDefault="00B411B1" w:rsidP="00DC7159">
      <w:pPr>
        <w:pStyle w:val="a3"/>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B411B1" w:rsidRPr="001E6FC7" w:rsidRDefault="00B411B1" w:rsidP="00DC7159">
      <w:pPr>
        <w:pStyle w:val="a3"/>
        <w:ind w:firstLine="709"/>
        <w:jc w:val="both"/>
        <w:rPr>
          <w:sz w:val="28"/>
          <w:szCs w:val="28"/>
        </w:rPr>
      </w:pPr>
      <w:r w:rsidRPr="001E6FC7">
        <w:rPr>
          <w:sz w:val="28"/>
          <w:szCs w:val="28"/>
        </w:rPr>
        <w:t>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положений статьи 34 Конституции Российской Федерации может монополизировать товарный рынок.</w:t>
      </w:r>
    </w:p>
    <w:p w:rsidR="00B411B1" w:rsidRPr="001E6FC7" w:rsidRDefault="00B411B1" w:rsidP="00DC7159">
      <w:pPr>
        <w:pStyle w:val="a3"/>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B411B1" w:rsidRPr="00B411B1" w:rsidRDefault="00B411B1" w:rsidP="00570FAF">
      <w:pPr>
        <w:pStyle w:val="a3"/>
        <w:jc w:val="both"/>
        <w:rPr>
          <w:b/>
          <w:i/>
          <w:sz w:val="28"/>
          <w:szCs w:val="28"/>
        </w:rPr>
      </w:pPr>
      <w:r w:rsidRPr="00B411B1">
        <w:rPr>
          <w:b/>
          <w:i/>
          <w:sz w:val="28"/>
          <w:szCs w:val="28"/>
        </w:rPr>
        <w:t>«О внесении изменений в Кодекс Российской Федерации об административных правонарушениях – статья 14.32 КоАП»</w:t>
      </w:r>
    </w:p>
    <w:p w:rsidR="00B411B1" w:rsidRPr="001E6FC7" w:rsidRDefault="00B411B1" w:rsidP="00DC7159">
      <w:pPr>
        <w:pStyle w:val="a3"/>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B411B1" w:rsidRPr="001E6FC7" w:rsidRDefault="00B411B1" w:rsidP="00DC7159">
      <w:pPr>
        <w:pStyle w:val="a3"/>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w:t>
      </w:r>
      <w:r w:rsidRPr="001E6FC7">
        <w:rPr>
          <w:sz w:val="28"/>
          <w:szCs w:val="28"/>
        </w:rPr>
        <w:lastRenderedPageBreak/>
        <w:t xml:space="preserve">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B411B1" w:rsidRPr="001E6FC7" w:rsidRDefault="00B411B1" w:rsidP="00DC7159">
      <w:pPr>
        <w:pStyle w:val="a3"/>
        <w:ind w:firstLine="709"/>
        <w:jc w:val="both"/>
        <w:rPr>
          <w:sz w:val="28"/>
          <w:szCs w:val="28"/>
        </w:rPr>
      </w:pPr>
      <w:r w:rsidRPr="001E6FC7">
        <w:rPr>
          <w:sz w:val="28"/>
          <w:szCs w:val="28"/>
        </w:rPr>
        <w:t xml:space="preserve">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w:t>
      </w:r>
      <w:r w:rsidR="008848A2" w:rsidRPr="001E6FC7">
        <w:rPr>
          <w:sz w:val="28"/>
          <w:szCs w:val="28"/>
        </w:rPr>
        <w:t xml:space="preserve">до 3 лет, а юридические лица - </w:t>
      </w:r>
      <w:r w:rsidRPr="001E6FC7">
        <w:rPr>
          <w:sz w:val="28"/>
          <w:szCs w:val="28"/>
        </w:rPr>
        <w:t>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B411B1" w:rsidRPr="001E6FC7" w:rsidRDefault="00B411B1" w:rsidP="00DC7159">
      <w:pPr>
        <w:pStyle w:val="a3"/>
        <w:ind w:firstLine="709"/>
        <w:jc w:val="both"/>
        <w:rPr>
          <w:sz w:val="28"/>
          <w:szCs w:val="28"/>
        </w:rPr>
      </w:pPr>
      <w:r w:rsidRPr="001E6FC7">
        <w:rPr>
          <w:sz w:val="28"/>
          <w:szCs w:val="28"/>
        </w:rPr>
        <w:t>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B411B1" w:rsidRPr="001E6FC7" w:rsidRDefault="00B411B1" w:rsidP="00DC7159">
      <w:pPr>
        <w:pStyle w:val="a3"/>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lastRenderedPageBreak/>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40 до 50 тыс. рублей, для должностных лиц - от 40 до 50 тыс. рублей или дисквалификацию на срок до 3 лет, для юридических лиц - от 1 до 5 млн. рублей.</w:t>
      </w:r>
    </w:p>
    <w:p w:rsidR="00B411B1" w:rsidRPr="001E6FC7" w:rsidRDefault="00B411B1" w:rsidP="00DC7159">
      <w:pPr>
        <w:pStyle w:val="a3"/>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B411B1" w:rsidRPr="001E6FC7" w:rsidRDefault="00B411B1" w:rsidP="00DC7159">
      <w:pPr>
        <w:pStyle w:val="a3"/>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7A17BB" w:rsidRPr="007A17BB" w:rsidRDefault="007A17BB" w:rsidP="001E6FC7">
      <w:pPr>
        <w:pStyle w:val="a3"/>
        <w:jc w:val="both"/>
        <w:rPr>
          <w:b/>
          <w:bCs/>
          <w:sz w:val="28"/>
          <w:szCs w:val="28"/>
        </w:rPr>
      </w:pPr>
      <w:r w:rsidRPr="007A17BB">
        <w:rPr>
          <w:b/>
          <w:bCs/>
          <w:sz w:val="28"/>
          <w:szCs w:val="28"/>
        </w:rPr>
        <w:t>Итоги деятельности ФАС России по антимонопольному контролю в 2017 году</w:t>
      </w:r>
      <w:r w:rsidR="00FD7EF3">
        <w:rPr>
          <w:b/>
          <w:bCs/>
          <w:sz w:val="28"/>
          <w:szCs w:val="28"/>
        </w:rPr>
        <w:t>.</w:t>
      </w:r>
    </w:p>
    <w:p w:rsidR="007A17BB" w:rsidRPr="007A17BB" w:rsidRDefault="007A17BB" w:rsidP="007A17BB">
      <w:pPr>
        <w:pStyle w:val="a3"/>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7A17BB" w:rsidRPr="007A17BB" w:rsidRDefault="007A17BB" w:rsidP="007F2A56">
      <w:pPr>
        <w:pStyle w:val="a3"/>
        <w:ind w:firstLine="709"/>
        <w:jc w:val="both"/>
        <w:rPr>
          <w:sz w:val="28"/>
          <w:szCs w:val="28"/>
        </w:rPr>
      </w:pPr>
      <w:r w:rsidRPr="007A17BB">
        <w:rPr>
          <w:sz w:val="28"/>
          <w:szCs w:val="28"/>
        </w:rPr>
        <w:lastRenderedPageBreak/>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7A17BB" w:rsidRPr="007A17BB" w:rsidRDefault="007A17BB" w:rsidP="007F2A56">
      <w:pPr>
        <w:pStyle w:val="a3"/>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033CBCBD" wp14:editId="4C214FF6">
            <wp:extent cx="5932170" cy="3071495"/>
            <wp:effectExtent l="0" t="0" r="11430" b="1460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 –</w:t>
      </w:r>
      <w:r w:rsidR="007F2A56">
        <w:rPr>
          <w:sz w:val="28"/>
          <w:szCs w:val="28"/>
        </w:rPr>
        <w:t xml:space="preserve"> </w:t>
      </w:r>
      <w:r w:rsidRPr="007A17BB">
        <w:rPr>
          <w:sz w:val="28"/>
          <w:szCs w:val="28"/>
        </w:rPr>
        <w:t>Рассмотрено заявлений о нарушении антимонопольного законодательства</w:t>
      </w:r>
    </w:p>
    <w:p w:rsidR="007A17BB" w:rsidRPr="007A17BB" w:rsidRDefault="007A17BB" w:rsidP="007A17BB">
      <w:pPr>
        <w:pStyle w:val="a3"/>
        <w:jc w:val="both"/>
        <w:rPr>
          <w:sz w:val="28"/>
          <w:szCs w:val="28"/>
        </w:rPr>
      </w:pPr>
    </w:p>
    <w:p w:rsidR="007A17BB" w:rsidRPr="007A17BB" w:rsidRDefault="007A17BB" w:rsidP="007F2A56">
      <w:pPr>
        <w:pStyle w:val="a3"/>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7A17BB" w:rsidRPr="007A17BB" w:rsidRDefault="007A17BB" w:rsidP="00E57770">
      <w:pPr>
        <w:pStyle w:val="a3"/>
        <w:ind w:firstLine="709"/>
        <w:jc w:val="both"/>
        <w:rPr>
          <w:sz w:val="28"/>
          <w:szCs w:val="28"/>
        </w:rPr>
      </w:pPr>
      <w:r w:rsidRPr="007A17BB">
        <w:rPr>
          <w:sz w:val="28"/>
          <w:szCs w:val="28"/>
        </w:rPr>
        <w:lastRenderedPageBreak/>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7A17BB" w:rsidRPr="007A17BB" w:rsidRDefault="007A17BB" w:rsidP="00E57770">
      <w:pPr>
        <w:pStyle w:val="a3"/>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7A17BB" w:rsidRPr="007A17BB" w:rsidRDefault="007A17BB" w:rsidP="00E57770">
      <w:pPr>
        <w:pStyle w:val="a3"/>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35057E24" wp14:editId="2EC4F988">
            <wp:extent cx="5932170" cy="2663190"/>
            <wp:effectExtent l="0" t="0" r="11430" b="381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2 – Возбуждение дел о нарушении ан</w:t>
      </w:r>
      <w:r w:rsidR="0034379F">
        <w:rPr>
          <w:sz w:val="28"/>
          <w:szCs w:val="28"/>
        </w:rPr>
        <w:t>тимонопольного законодательства</w:t>
      </w:r>
    </w:p>
    <w:p w:rsidR="007A17BB" w:rsidRPr="007A17BB" w:rsidRDefault="007A17BB" w:rsidP="00E57770">
      <w:pPr>
        <w:pStyle w:val="a3"/>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r>
      <w:r w:rsidRPr="007A17BB">
        <w:rPr>
          <w:sz w:val="28"/>
          <w:szCs w:val="28"/>
        </w:rPr>
        <w:lastRenderedPageBreak/>
        <w:t>для выдачи предупреждения и перечень лиц, в отношении которых могут выдаваться предупреждения.</w:t>
      </w:r>
    </w:p>
    <w:p w:rsidR="007A17BB" w:rsidRPr="007A17BB" w:rsidRDefault="007A17BB" w:rsidP="00E57770">
      <w:pPr>
        <w:pStyle w:val="a3"/>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55A590B3" wp14:editId="4BAD0901">
            <wp:extent cx="5932170" cy="1390015"/>
            <wp:effectExtent l="0" t="0" r="11430" b="63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использования п</w:t>
      </w:r>
      <w:r w:rsidR="00E57770">
        <w:rPr>
          <w:b/>
          <w:bCs/>
          <w:i/>
          <w:iCs/>
          <w:sz w:val="28"/>
          <w:szCs w:val="28"/>
        </w:rPr>
        <w:t>редупреждений и предостережений</w:t>
      </w:r>
    </w:p>
    <w:p w:rsidR="007A17BB" w:rsidRPr="007A17BB" w:rsidRDefault="007A17BB" w:rsidP="00E57770">
      <w:pPr>
        <w:pStyle w:val="a3"/>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sidR="00E57770">
        <w:rPr>
          <w:sz w:val="28"/>
          <w:szCs w:val="28"/>
        </w:rPr>
        <w:t>.</w:t>
      </w:r>
    </w:p>
    <w:p w:rsidR="007A17BB" w:rsidRPr="007A17BB" w:rsidRDefault="007A17BB" w:rsidP="00E57770">
      <w:pPr>
        <w:pStyle w:val="a3"/>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7A17BB" w:rsidRPr="007A17BB" w:rsidRDefault="007A17BB" w:rsidP="00E57770">
      <w:pPr>
        <w:pStyle w:val="a3"/>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483F4D5F" wp14:editId="3F87FF77">
            <wp:extent cx="5932170" cy="2167890"/>
            <wp:effectExtent l="0" t="0" r="11430" b="381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17BB" w:rsidRPr="007A17BB" w:rsidRDefault="007A17BB" w:rsidP="0034379F">
      <w:pPr>
        <w:pStyle w:val="a3"/>
        <w:ind w:firstLine="709"/>
        <w:jc w:val="both"/>
        <w:rPr>
          <w:sz w:val="28"/>
          <w:szCs w:val="28"/>
        </w:rPr>
      </w:pPr>
      <w:r w:rsidRPr="007A17BB">
        <w:rPr>
          <w:sz w:val="28"/>
          <w:szCs w:val="28"/>
        </w:rPr>
        <w:t xml:space="preserve">Рисунок </w:t>
      </w:r>
      <w:r w:rsidR="0034379F">
        <w:rPr>
          <w:sz w:val="28"/>
          <w:szCs w:val="28"/>
        </w:rPr>
        <w:t>4 – Направление предостережений</w:t>
      </w:r>
    </w:p>
    <w:p w:rsidR="007A17BB" w:rsidRPr="007A17BB" w:rsidRDefault="007A17BB" w:rsidP="00E57770">
      <w:pPr>
        <w:pStyle w:val="a3"/>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7A17BB" w:rsidRPr="007A17BB" w:rsidRDefault="007A17BB" w:rsidP="007A17BB">
      <w:pPr>
        <w:pStyle w:val="a3"/>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F605CC8" wp14:editId="0ED45BB8">
            <wp:extent cx="5932170" cy="2663190"/>
            <wp:effectExtent l="0" t="0" r="11430" b="381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5 – Выдача и исполнение предупреждений</w:t>
      </w:r>
    </w:p>
    <w:p w:rsidR="007A17BB" w:rsidRPr="007A17BB" w:rsidRDefault="007A17BB" w:rsidP="007A17BB">
      <w:pPr>
        <w:pStyle w:val="a3"/>
        <w:jc w:val="both"/>
        <w:rPr>
          <w:sz w:val="28"/>
          <w:szCs w:val="28"/>
        </w:rPr>
      </w:pPr>
    </w:p>
    <w:p w:rsidR="007A17BB" w:rsidRPr="007A17BB" w:rsidRDefault="007A17BB" w:rsidP="00E57770">
      <w:pPr>
        <w:pStyle w:val="a3"/>
        <w:jc w:val="both"/>
        <w:rPr>
          <w:sz w:val="28"/>
          <w:szCs w:val="28"/>
        </w:rPr>
      </w:pPr>
      <w:r w:rsidRPr="007A17BB">
        <w:rPr>
          <w:sz w:val="28"/>
          <w:szCs w:val="28"/>
        </w:rPr>
        <w:lastRenderedPageBreak/>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7A17BB" w:rsidRPr="007A17BB" w:rsidRDefault="007A17BB" w:rsidP="007A17BB">
      <w:pPr>
        <w:pStyle w:val="a3"/>
        <w:ind w:firstLine="709"/>
        <w:jc w:val="both"/>
        <w:rPr>
          <w:b/>
          <w:sz w:val="28"/>
          <w:szCs w:val="28"/>
        </w:rPr>
      </w:pPr>
      <w:r w:rsidRPr="007A17BB">
        <w:rPr>
          <w:noProof/>
          <w:sz w:val="28"/>
          <w:szCs w:val="28"/>
        </w:rPr>
        <w:drawing>
          <wp:inline distT="0" distB="0" distL="0" distR="0" wp14:anchorId="03CF6D60" wp14:editId="47A3B2F2">
            <wp:extent cx="5932170" cy="2663190"/>
            <wp:effectExtent l="0" t="0" r="11430" b="381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6 – Доля исполненных предупреждений</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14DB28" wp14:editId="3128874A">
            <wp:extent cx="5932170" cy="1828800"/>
            <wp:effectExtent l="0" t="0" r="1143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7 – Соотношение возбужденны</w:t>
      </w:r>
      <w:r w:rsidR="0034379F">
        <w:rPr>
          <w:sz w:val="28"/>
          <w:szCs w:val="28"/>
        </w:rPr>
        <w:t>х дел и выданных предупреждений</w:t>
      </w:r>
    </w:p>
    <w:p w:rsidR="007A17BB" w:rsidRPr="007A17BB" w:rsidRDefault="007A17BB" w:rsidP="007A17BB">
      <w:pPr>
        <w:pStyle w:val="a3"/>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7A17BB" w:rsidRPr="007A17BB" w:rsidRDefault="007A17BB" w:rsidP="0034379F">
      <w:pPr>
        <w:pStyle w:val="a3"/>
        <w:ind w:firstLine="709"/>
        <w:jc w:val="both"/>
        <w:rPr>
          <w:sz w:val="28"/>
          <w:szCs w:val="28"/>
        </w:rPr>
      </w:pPr>
      <w:r w:rsidRPr="007A17BB">
        <w:rPr>
          <w:sz w:val="28"/>
          <w:szCs w:val="28"/>
        </w:rPr>
        <w:t xml:space="preserve">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w:t>
      </w:r>
      <w:r w:rsidRPr="007A17BB">
        <w:rPr>
          <w:sz w:val="28"/>
          <w:szCs w:val="28"/>
        </w:rPr>
        <w:lastRenderedPageBreak/>
        <w:t>возбужденных дел по признакам нарушения статьи 10 Закона о защите конкуренции.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ADB022A" wp14:editId="3EEEEEC2">
            <wp:extent cx="5932170" cy="2149475"/>
            <wp:effectExtent l="0" t="0" r="11430" b="317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A17BB" w:rsidRPr="007A17BB" w:rsidRDefault="007A17BB" w:rsidP="00201DB7">
      <w:pPr>
        <w:pStyle w:val="a3"/>
        <w:ind w:firstLine="709"/>
        <w:jc w:val="both"/>
        <w:rPr>
          <w:sz w:val="28"/>
          <w:szCs w:val="28"/>
        </w:rPr>
      </w:pPr>
      <w:r w:rsidRPr="007A17BB">
        <w:rPr>
          <w:sz w:val="28"/>
          <w:szCs w:val="28"/>
        </w:rPr>
        <w:t>Рисунок 8 – Возбуждено дел по статье</w:t>
      </w:r>
      <w:r w:rsidR="00201DB7">
        <w:rPr>
          <w:sz w:val="28"/>
          <w:szCs w:val="28"/>
        </w:rPr>
        <w:t xml:space="preserve">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A17BB" w:rsidRPr="007A17BB" w:rsidRDefault="007A17BB" w:rsidP="007A17BB">
      <w:pPr>
        <w:pStyle w:val="a3"/>
        <w:ind w:firstLine="709"/>
        <w:jc w:val="both"/>
        <w:rPr>
          <w:sz w:val="28"/>
          <w:szCs w:val="28"/>
        </w:rPr>
      </w:pPr>
    </w:p>
    <w:p w:rsidR="007A17BB" w:rsidRPr="007A17BB" w:rsidRDefault="007A17BB" w:rsidP="00201DB7">
      <w:pPr>
        <w:pStyle w:val="a3"/>
        <w:ind w:firstLine="709"/>
        <w:jc w:val="both"/>
        <w:rPr>
          <w:sz w:val="28"/>
          <w:szCs w:val="28"/>
        </w:rPr>
      </w:pPr>
      <w:r w:rsidRPr="007A17BB">
        <w:rPr>
          <w:noProof/>
          <w:sz w:val="28"/>
          <w:szCs w:val="28"/>
        </w:rPr>
        <w:lastRenderedPageBreak/>
        <w:drawing>
          <wp:inline distT="0" distB="0" distL="0" distR="0" wp14:anchorId="6F4A58B9" wp14:editId="123A9FA8">
            <wp:extent cx="5932170" cy="2536825"/>
            <wp:effectExtent l="0" t="0" r="11430"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7A17BB">
        <w:rPr>
          <w:sz w:val="28"/>
          <w:szCs w:val="28"/>
        </w:rPr>
        <w:t>Рисунок 9 – Возбуждено дел по ст. 10 в отношении с</w:t>
      </w:r>
      <w:r w:rsidR="00201DB7">
        <w:rPr>
          <w:sz w:val="28"/>
          <w:szCs w:val="28"/>
        </w:rPr>
        <w:t>убъектов естественных монополий</w:t>
      </w:r>
    </w:p>
    <w:p w:rsidR="007A17BB" w:rsidRPr="007A17BB" w:rsidRDefault="007A17BB" w:rsidP="00201DB7">
      <w:pPr>
        <w:pStyle w:val="a3"/>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7A17BB" w:rsidRPr="007A17BB" w:rsidRDefault="007A17BB" w:rsidP="007A17BB">
      <w:pPr>
        <w:pStyle w:val="a3"/>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sidR="00E57770">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sidR="00B01B3B">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7A17BB" w:rsidRPr="007A17BB" w:rsidRDefault="007A17BB" w:rsidP="00E57770">
      <w:pPr>
        <w:pStyle w:val="a3"/>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7A17BB" w:rsidRPr="007A17BB" w:rsidRDefault="007A17BB" w:rsidP="00E57770">
      <w:pPr>
        <w:pStyle w:val="a3"/>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 xml:space="preserve">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w:t>
      </w:r>
      <w:r w:rsidRPr="007A17BB">
        <w:rPr>
          <w:sz w:val="28"/>
          <w:szCs w:val="28"/>
        </w:rPr>
        <w:lastRenderedPageBreak/>
        <w:t>(реализации)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7A17BB" w:rsidRPr="007A17BB" w:rsidRDefault="007A17BB" w:rsidP="00E57770">
      <w:pPr>
        <w:pStyle w:val="a3"/>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7A17BB" w:rsidRPr="007A17BB" w:rsidRDefault="007A17BB" w:rsidP="007A17BB">
      <w:pPr>
        <w:pStyle w:val="a3"/>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7A17BB" w:rsidRPr="007A17BB" w:rsidRDefault="007A17BB" w:rsidP="007A17BB">
      <w:pPr>
        <w:pStyle w:val="a3"/>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6E0B999D" wp14:editId="4E1114F8">
            <wp:extent cx="5932170" cy="2494280"/>
            <wp:effectExtent l="0" t="0" r="11430" b="127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10 –Возбуждено дел по ст. 11, 11.1, 16 Закона о защите конкуренции</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7A17BB" w:rsidRPr="007A17BB" w:rsidRDefault="007A17BB" w:rsidP="00E57770">
      <w:pPr>
        <w:pStyle w:val="a3"/>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7A17BB" w:rsidRPr="007A17BB" w:rsidRDefault="007A17BB" w:rsidP="007A17BB">
      <w:pPr>
        <w:pStyle w:val="a3"/>
        <w:numPr>
          <w:ilvl w:val="0"/>
          <w:numId w:val="5"/>
        </w:numPr>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14:anchorId="594CC638" wp14:editId="715D2849">
            <wp:extent cx="5932170" cy="3200400"/>
            <wp:effectExtent l="0" t="0" r="1143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11 – Рассмотрено ходатайств и уведомлений</w:t>
      </w:r>
    </w:p>
    <w:p w:rsidR="007A17BB" w:rsidRPr="007A17BB" w:rsidRDefault="007A17BB" w:rsidP="00B01B3B">
      <w:pPr>
        <w:pStyle w:val="a3"/>
        <w:ind w:firstLine="709"/>
        <w:jc w:val="both"/>
        <w:rPr>
          <w:sz w:val="28"/>
          <w:szCs w:val="28"/>
        </w:rPr>
      </w:pPr>
      <w:r w:rsidRPr="007A17BB">
        <w:rPr>
          <w:sz w:val="28"/>
          <w:szCs w:val="28"/>
        </w:rPr>
        <w:t xml:space="preserve">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ходатайств. Ее рекомендуется осуществлять в отношении тех сделок </w:t>
      </w:r>
      <w:r w:rsidRPr="007A17BB">
        <w:rPr>
          <w:sz w:val="28"/>
          <w:szCs w:val="28"/>
        </w:rPr>
        <w:lastRenderedPageBreak/>
        <w:t>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7A17BB" w:rsidRPr="00E57770" w:rsidRDefault="007A17BB" w:rsidP="00E57770">
      <w:pPr>
        <w:pStyle w:val="a3"/>
        <w:spacing w:after="0"/>
        <w:ind w:firstLine="709"/>
        <w:jc w:val="both"/>
        <w:rPr>
          <w:b/>
          <w:i/>
          <w:sz w:val="28"/>
          <w:szCs w:val="28"/>
        </w:rPr>
      </w:pPr>
      <w:bookmarkStart w:id="12" w:name="_Toc479442991"/>
      <w:r w:rsidRPr="007A17BB">
        <w:rPr>
          <w:b/>
          <w:bCs/>
          <w:i/>
          <w:iCs/>
          <w:sz w:val="28"/>
          <w:szCs w:val="28"/>
        </w:rPr>
        <w:t>Противодействие недобросовестной конкуренции</w:t>
      </w:r>
      <w:bookmarkEnd w:id="12"/>
    </w:p>
    <w:p w:rsidR="007A17BB" w:rsidRPr="007A17BB" w:rsidRDefault="007A17BB" w:rsidP="00E57770">
      <w:pPr>
        <w:pStyle w:val="a3"/>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1DDF5F79" wp14:editId="1D5E6E9D">
            <wp:extent cx="5932170" cy="2901950"/>
            <wp:effectExtent l="0" t="0" r="11430" b="1270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12 – Пресечение недобросовестной конкуренции</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bookmarkStart w:id="13" w:name="_Toc479442992"/>
      <w:r w:rsidRPr="007A17BB">
        <w:rPr>
          <w:b/>
          <w:bCs/>
          <w:i/>
          <w:iCs/>
          <w:sz w:val="28"/>
          <w:szCs w:val="28"/>
        </w:rPr>
        <w:lastRenderedPageBreak/>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7A17BB" w:rsidRPr="007A17BB" w:rsidRDefault="007A17BB" w:rsidP="007A17BB">
      <w:pPr>
        <w:pStyle w:val="a3"/>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7A17BB" w:rsidRPr="007A17BB" w:rsidRDefault="007A17BB" w:rsidP="00E57770">
      <w:pPr>
        <w:pStyle w:val="a3"/>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lang w:val="en-US"/>
        </w:rPr>
      </w:pPr>
      <w:r w:rsidRPr="007A17BB">
        <w:rPr>
          <w:noProof/>
          <w:sz w:val="28"/>
          <w:szCs w:val="28"/>
        </w:rPr>
        <w:drawing>
          <wp:inline distT="0" distB="0" distL="0" distR="0" wp14:anchorId="4AC645B7" wp14:editId="336D5EAA">
            <wp:extent cx="5932170" cy="2255520"/>
            <wp:effectExtent l="0" t="0" r="11430" b="1143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17BB" w:rsidRPr="007A17BB" w:rsidRDefault="007A17BB" w:rsidP="00B01B3B">
      <w:pPr>
        <w:pStyle w:val="a3"/>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sidR="00B01B3B">
        <w:rPr>
          <w:sz w:val="28"/>
          <w:szCs w:val="28"/>
        </w:rPr>
        <w:t>органов местного самоуправления</w:t>
      </w:r>
    </w:p>
    <w:p w:rsidR="007A17BB" w:rsidRPr="00E57770" w:rsidRDefault="007A17BB" w:rsidP="00E57770">
      <w:pPr>
        <w:pStyle w:val="a3"/>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7A17BB" w:rsidRPr="007A17BB" w:rsidRDefault="007A17BB" w:rsidP="00E57770">
      <w:pPr>
        <w:pStyle w:val="a3"/>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7A17BB" w:rsidRPr="007A17BB" w:rsidRDefault="007A17BB" w:rsidP="007A17BB">
      <w:pPr>
        <w:pStyle w:val="a3"/>
        <w:ind w:firstLine="709"/>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14:anchorId="05D569CA" wp14:editId="67482F8A">
            <wp:extent cx="5932170" cy="2121535"/>
            <wp:effectExtent l="0" t="0" r="11430" b="1206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17BB" w:rsidRPr="007A17BB" w:rsidRDefault="007A17BB" w:rsidP="00E57770">
      <w:pPr>
        <w:pStyle w:val="a3"/>
        <w:ind w:firstLine="709"/>
        <w:jc w:val="both"/>
        <w:rPr>
          <w:sz w:val="28"/>
          <w:szCs w:val="28"/>
        </w:rPr>
      </w:pPr>
      <w:r w:rsidRPr="007A17BB">
        <w:rPr>
          <w:sz w:val="28"/>
          <w:szCs w:val="28"/>
        </w:rPr>
        <w:t xml:space="preserve">Рисунок 14 </w:t>
      </w:r>
      <w:r w:rsidR="00E57770">
        <w:rPr>
          <w:sz w:val="28"/>
          <w:szCs w:val="28"/>
        </w:rPr>
        <w:t>– Возбуждено дел о преференциях</w:t>
      </w:r>
    </w:p>
    <w:p w:rsidR="007A17BB" w:rsidRPr="007A17BB" w:rsidRDefault="007A17BB" w:rsidP="00E57770">
      <w:pPr>
        <w:pStyle w:val="a3"/>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7A17BB" w:rsidRPr="007A17BB" w:rsidRDefault="007A17BB" w:rsidP="00E57770">
      <w:pPr>
        <w:pStyle w:val="a3"/>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i/>
          <w:sz w:val="28"/>
          <w:szCs w:val="28"/>
        </w:rPr>
      </w:pPr>
      <w:r w:rsidRPr="007A17BB">
        <w:rPr>
          <w:noProof/>
          <w:sz w:val="28"/>
          <w:szCs w:val="28"/>
        </w:rPr>
        <w:drawing>
          <wp:inline distT="0" distB="0" distL="0" distR="0" wp14:anchorId="5754B412" wp14:editId="678D08CD">
            <wp:extent cx="5932170" cy="2186940"/>
            <wp:effectExtent l="0" t="0" r="11430" b="381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17BB" w:rsidRPr="007A17BB" w:rsidRDefault="007A17BB" w:rsidP="007A17BB">
      <w:pPr>
        <w:pStyle w:val="a3"/>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7A17BB" w:rsidRPr="007A17BB" w:rsidRDefault="007A17BB" w:rsidP="007A17BB">
      <w:pPr>
        <w:pStyle w:val="a3"/>
        <w:jc w:val="both"/>
        <w:rPr>
          <w:b/>
          <w:i/>
          <w:sz w:val="28"/>
          <w:szCs w:val="28"/>
        </w:rPr>
      </w:pPr>
    </w:p>
    <w:p w:rsidR="007A17BB" w:rsidRPr="007A17BB" w:rsidRDefault="007A17BB" w:rsidP="007A17BB">
      <w:pPr>
        <w:pStyle w:val="a3"/>
        <w:ind w:firstLine="709"/>
        <w:jc w:val="both"/>
        <w:rPr>
          <w:b/>
          <w:bCs/>
          <w:i/>
          <w:iCs/>
          <w:sz w:val="28"/>
          <w:szCs w:val="28"/>
        </w:rPr>
      </w:pPr>
      <w:r w:rsidRPr="007A17BB">
        <w:rPr>
          <w:b/>
          <w:bCs/>
          <w:i/>
          <w:iCs/>
          <w:sz w:val="28"/>
          <w:szCs w:val="28"/>
        </w:rPr>
        <w:lastRenderedPageBreak/>
        <w:t>Результаты контроля за соблюдением антимонопольных требований законодательства о торговле</w:t>
      </w:r>
      <w:bookmarkEnd w:id="16"/>
    </w:p>
    <w:p w:rsidR="007A17BB" w:rsidRPr="007A17BB" w:rsidRDefault="007A17BB" w:rsidP="00E57770">
      <w:pPr>
        <w:pStyle w:val="a3"/>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7A17BB" w:rsidRPr="007A17BB" w:rsidRDefault="007A17BB" w:rsidP="00E57770">
      <w:pPr>
        <w:pStyle w:val="a3"/>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897A0C0" wp14:editId="5BFEBE64">
            <wp:extent cx="5932170" cy="1179830"/>
            <wp:effectExtent l="0" t="0" r="11430" b="127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57770" w:rsidRDefault="007A17BB" w:rsidP="00E57770">
      <w:pPr>
        <w:pStyle w:val="a3"/>
        <w:ind w:firstLine="709"/>
        <w:jc w:val="both"/>
        <w:rPr>
          <w:sz w:val="28"/>
          <w:szCs w:val="28"/>
        </w:rPr>
      </w:pPr>
      <w:r w:rsidRPr="007A17BB">
        <w:rPr>
          <w:sz w:val="28"/>
          <w:szCs w:val="28"/>
        </w:rPr>
        <w:t>Рисунок 16 – Возбуждено дел о наруше</w:t>
      </w:r>
      <w:bookmarkStart w:id="17" w:name="_Toc479442996"/>
      <w:r w:rsidR="00E57770">
        <w:rPr>
          <w:sz w:val="28"/>
          <w:szCs w:val="28"/>
        </w:rPr>
        <w:t>нии законодательства о торговле</w:t>
      </w:r>
    </w:p>
    <w:p w:rsidR="007A17BB" w:rsidRPr="00E57770" w:rsidRDefault="007A17BB" w:rsidP="00E57770">
      <w:pPr>
        <w:pStyle w:val="a3"/>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7A17BB" w:rsidRPr="007A17BB" w:rsidRDefault="007A17BB" w:rsidP="00E57770">
      <w:pPr>
        <w:pStyle w:val="a3"/>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lastRenderedPageBreak/>
        <w:drawing>
          <wp:inline distT="0" distB="0" distL="0" distR="0" wp14:anchorId="56DAD798" wp14:editId="248DD72F">
            <wp:extent cx="5713095" cy="2054860"/>
            <wp:effectExtent l="0" t="0" r="1905" b="25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A17BB" w:rsidRPr="007A17BB" w:rsidRDefault="007A17BB" w:rsidP="00B01B3B">
      <w:pPr>
        <w:pStyle w:val="a3"/>
        <w:ind w:firstLine="709"/>
        <w:jc w:val="both"/>
        <w:rPr>
          <w:sz w:val="28"/>
          <w:szCs w:val="28"/>
        </w:rPr>
      </w:pPr>
      <w:r w:rsidRPr="007A17BB">
        <w:rPr>
          <w:sz w:val="28"/>
          <w:szCs w:val="28"/>
        </w:rPr>
        <w:t>Рис</w:t>
      </w:r>
      <w:r w:rsidR="00B01B3B">
        <w:rPr>
          <w:sz w:val="28"/>
          <w:szCs w:val="28"/>
        </w:rPr>
        <w:t>унок 17 – Жалобы в сфере торгов</w:t>
      </w:r>
    </w:p>
    <w:p w:rsidR="007A17BB" w:rsidRPr="007A17BB" w:rsidRDefault="007A17BB" w:rsidP="00E57770">
      <w:pPr>
        <w:pStyle w:val="a3"/>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7084EE4D" wp14:editId="36B70412">
            <wp:extent cx="5932170" cy="2184400"/>
            <wp:effectExtent l="0" t="0" r="1143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17BB" w:rsidRPr="007A17BB" w:rsidRDefault="007A17BB" w:rsidP="007A17BB">
      <w:pPr>
        <w:pStyle w:val="a3"/>
        <w:ind w:firstLine="709"/>
        <w:jc w:val="both"/>
        <w:rPr>
          <w:b/>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7A17BB" w:rsidRPr="007A17BB" w:rsidRDefault="007A17BB" w:rsidP="007A17BB">
      <w:pPr>
        <w:pStyle w:val="a3"/>
        <w:ind w:firstLine="709"/>
        <w:jc w:val="both"/>
        <w:rPr>
          <w:b/>
          <w:bCs/>
          <w:sz w:val="28"/>
          <w:szCs w:val="28"/>
        </w:rPr>
      </w:pPr>
      <w:r w:rsidRPr="007A17BB">
        <w:rPr>
          <w:b/>
          <w:bCs/>
          <w:sz w:val="28"/>
          <w:szCs w:val="28"/>
        </w:rPr>
        <w:lastRenderedPageBreak/>
        <w:t>Результаты применения законодательства об административных правонарушениях в 2017 году</w:t>
      </w:r>
    </w:p>
    <w:p w:rsidR="007A17BB" w:rsidRPr="007A17BB" w:rsidRDefault="007A17BB" w:rsidP="00B01B3B">
      <w:pPr>
        <w:pStyle w:val="a3"/>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7A17BB" w:rsidRPr="007A17BB" w:rsidRDefault="007A17BB" w:rsidP="007A17BB">
      <w:pPr>
        <w:pStyle w:val="a3"/>
        <w:ind w:firstLine="709"/>
        <w:jc w:val="both"/>
        <w:rPr>
          <w:sz w:val="28"/>
          <w:szCs w:val="28"/>
        </w:rPr>
      </w:pPr>
      <w:r w:rsidRPr="007A17BB">
        <w:rPr>
          <w:noProof/>
          <w:sz w:val="28"/>
          <w:szCs w:val="28"/>
        </w:rPr>
        <w:drawing>
          <wp:inline distT="0" distB="0" distL="0" distR="0" wp14:anchorId="2624095F" wp14:editId="4F884B64">
            <wp:extent cx="5932170" cy="5541645"/>
            <wp:effectExtent l="0" t="0" r="11430" b="19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A17BB" w:rsidRPr="007A17BB" w:rsidRDefault="007A17BB" w:rsidP="00E57770">
      <w:pPr>
        <w:pStyle w:val="a3"/>
        <w:ind w:firstLine="709"/>
        <w:jc w:val="both"/>
        <w:rPr>
          <w:sz w:val="28"/>
          <w:szCs w:val="28"/>
        </w:rPr>
      </w:pPr>
      <w:r w:rsidRPr="007A17BB">
        <w:rPr>
          <w:sz w:val="28"/>
          <w:szCs w:val="28"/>
        </w:rPr>
        <w:t>Рисунок 19 – Структура возбужденных дел об а</w:t>
      </w:r>
      <w:r w:rsidR="00E57770">
        <w:rPr>
          <w:sz w:val="28"/>
          <w:szCs w:val="28"/>
        </w:rPr>
        <w:t>дминистративных правонарушениях</w:t>
      </w:r>
    </w:p>
    <w:p w:rsidR="007A17BB" w:rsidRPr="007A17BB" w:rsidRDefault="007A17BB" w:rsidP="00E57770">
      <w:pPr>
        <w:pStyle w:val="a3"/>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 xml:space="preserve">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w:t>
      </w:r>
      <w:r w:rsidRPr="007A17BB">
        <w:rPr>
          <w:sz w:val="28"/>
          <w:szCs w:val="28"/>
        </w:rPr>
        <w:lastRenderedPageBreak/>
        <w:t>категориям, как контроль соблюдения антимонопольного законодательства на финансовых рынках, в сфере иностранных инвестиций и рекламы.</w:t>
      </w:r>
    </w:p>
    <w:p w:rsidR="007A17BB" w:rsidRPr="007A17BB" w:rsidRDefault="007A17BB" w:rsidP="007A17BB">
      <w:pPr>
        <w:pStyle w:val="a3"/>
        <w:jc w:val="both"/>
        <w:rPr>
          <w:sz w:val="28"/>
          <w:szCs w:val="28"/>
        </w:rPr>
      </w:pPr>
    </w:p>
    <w:p w:rsidR="007A17BB" w:rsidRPr="007A17BB" w:rsidRDefault="007A17BB" w:rsidP="007A17BB">
      <w:pPr>
        <w:pStyle w:val="a3"/>
        <w:spacing w:after="0"/>
        <w:ind w:firstLine="709"/>
        <w:jc w:val="both"/>
        <w:rPr>
          <w:sz w:val="28"/>
          <w:szCs w:val="28"/>
        </w:rPr>
      </w:pPr>
    </w:p>
    <w:p w:rsidR="001C5817" w:rsidRDefault="001C5817" w:rsidP="007A17BB">
      <w:pPr>
        <w:pStyle w:val="a3"/>
        <w:spacing w:before="0" w:beforeAutospacing="0" w:after="0"/>
        <w:ind w:firstLine="709"/>
        <w:jc w:val="both"/>
        <w:rPr>
          <w:sz w:val="28"/>
          <w:szCs w:val="28"/>
        </w:rPr>
      </w:pPr>
    </w:p>
    <w:p w:rsidR="00231BDB" w:rsidRPr="00231BDB" w:rsidRDefault="00231BDB" w:rsidP="007A17BB">
      <w:pPr>
        <w:pStyle w:val="a3"/>
        <w:spacing w:after="0"/>
        <w:jc w:val="both"/>
        <w:rPr>
          <w:i/>
          <w:sz w:val="28"/>
          <w:szCs w:val="28"/>
        </w:rPr>
      </w:pPr>
    </w:p>
    <w:sectPr w:rsidR="00231BDB" w:rsidRPr="00231BDB">
      <w:footerReference w:type="default" r:id="rId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29A" w:rsidRDefault="00DD429A" w:rsidP="0060395C">
      <w:pPr>
        <w:spacing w:after="0" w:line="240" w:lineRule="auto"/>
      </w:pPr>
      <w:r>
        <w:separator/>
      </w:r>
    </w:p>
  </w:endnote>
  <w:endnote w:type="continuationSeparator" w:id="0">
    <w:p w:rsidR="00DD429A" w:rsidRDefault="00DD429A" w:rsidP="0060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71685"/>
      <w:docPartObj>
        <w:docPartGallery w:val="Page Numbers (Bottom of Page)"/>
        <w:docPartUnique/>
      </w:docPartObj>
    </w:sdtPr>
    <w:sdtEndPr/>
    <w:sdtContent>
      <w:p w:rsidR="004F08F6" w:rsidRDefault="004F08F6">
        <w:pPr>
          <w:pStyle w:val="a8"/>
          <w:jc w:val="center"/>
        </w:pPr>
        <w:r>
          <w:fldChar w:fldCharType="begin"/>
        </w:r>
        <w:r>
          <w:instrText>PAGE   \* MERGEFORMAT</w:instrText>
        </w:r>
        <w:r>
          <w:fldChar w:fldCharType="separate"/>
        </w:r>
        <w:r w:rsidR="00DB76D7">
          <w:rPr>
            <w:noProof/>
          </w:rPr>
          <w:t>10</w:t>
        </w:r>
        <w:r>
          <w:fldChar w:fldCharType="end"/>
        </w:r>
      </w:p>
    </w:sdtContent>
  </w:sdt>
  <w:p w:rsidR="004F08F6" w:rsidRDefault="004F08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29A" w:rsidRDefault="00DD429A" w:rsidP="0060395C">
      <w:pPr>
        <w:spacing w:after="0" w:line="240" w:lineRule="auto"/>
      </w:pPr>
      <w:r>
        <w:separator/>
      </w:r>
    </w:p>
  </w:footnote>
  <w:footnote w:type="continuationSeparator" w:id="0">
    <w:p w:rsidR="00DD429A" w:rsidRDefault="00DD429A" w:rsidP="006039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404A22"/>
    <w:multiLevelType w:val="hybridMultilevel"/>
    <w:tmpl w:val="5E8C9346"/>
    <w:lvl w:ilvl="0" w:tplc="F58E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tentative="1">
      <w:start w:val="1"/>
      <w:numFmt w:val="bullet"/>
      <w:lvlText w:val=""/>
      <w:lvlJc w:val="left"/>
      <w:pPr>
        <w:tabs>
          <w:tab w:val="num" w:pos="1440"/>
        </w:tabs>
        <w:ind w:left="1440" w:hanging="360"/>
      </w:pPr>
      <w:rPr>
        <w:rFonts w:ascii="Wingdings" w:hAnsi="Wingdings" w:hint="default"/>
      </w:rPr>
    </w:lvl>
    <w:lvl w:ilvl="2" w:tplc="481A9C36" w:tentative="1">
      <w:start w:val="1"/>
      <w:numFmt w:val="bullet"/>
      <w:lvlText w:val=""/>
      <w:lvlJc w:val="left"/>
      <w:pPr>
        <w:tabs>
          <w:tab w:val="num" w:pos="2160"/>
        </w:tabs>
        <w:ind w:left="2160" w:hanging="360"/>
      </w:pPr>
      <w:rPr>
        <w:rFonts w:ascii="Wingdings" w:hAnsi="Wingdings" w:hint="default"/>
      </w:rPr>
    </w:lvl>
    <w:lvl w:ilvl="3" w:tplc="2A0C841E" w:tentative="1">
      <w:start w:val="1"/>
      <w:numFmt w:val="bullet"/>
      <w:lvlText w:val=""/>
      <w:lvlJc w:val="left"/>
      <w:pPr>
        <w:tabs>
          <w:tab w:val="num" w:pos="2880"/>
        </w:tabs>
        <w:ind w:left="2880" w:hanging="360"/>
      </w:pPr>
      <w:rPr>
        <w:rFonts w:ascii="Wingdings" w:hAnsi="Wingdings" w:hint="default"/>
      </w:rPr>
    </w:lvl>
    <w:lvl w:ilvl="4" w:tplc="EFDE9938" w:tentative="1">
      <w:start w:val="1"/>
      <w:numFmt w:val="bullet"/>
      <w:lvlText w:val=""/>
      <w:lvlJc w:val="left"/>
      <w:pPr>
        <w:tabs>
          <w:tab w:val="num" w:pos="3600"/>
        </w:tabs>
        <w:ind w:left="3600" w:hanging="360"/>
      </w:pPr>
      <w:rPr>
        <w:rFonts w:ascii="Wingdings" w:hAnsi="Wingdings" w:hint="default"/>
      </w:rPr>
    </w:lvl>
    <w:lvl w:ilvl="5" w:tplc="75606A90" w:tentative="1">
      <w:start w:val="1"/>
      <w:numFmt w:val="bullet"/>
      <w:lvlText w:val=""/>
      <w:lvlJc w:val="left"/>
      <w:pPr>
        <w:tabs>
          <w:tab w:val="num" w:pos="4320"/>
        </w:tabs>
        <w:ind w:left="4320" w:hanging="360"/>
      </w:pPr>
      <w:rPr>
        <w:rFonts w:ascii="Wingdings" w:hAnsi="Wingdings" w:hint="default"/>
      </w:rPr>
    </w:lvl>
    <w:lvl w:ilvl="6" w:tplc="B908F66E" w:tentative="1">
      <w:start w:val="1"/>
      <w:numFmt w:val="bullet"/>
      <w:lvlText w:val=""/>
      <w:lvlJc w:val="left"/>
      <w:pPr>
        <w:tabs>
          <w:tab w:val="num" w:pos="5040"/>
        </w:tabs>
        <w:ind w:left="5040" w:hanging="360"/>
      </w:pPr>
      <w:rPr>
        <w:rFonts w:ascii="Wingdings" w:hAnsi="Wingdings" w:hint="default"/>
      </w:rPr>
    </w:lvl>
    <w:lvl w:ilvl="7" w:tplc="9ED0116E" w:tentative="1">
      <w:start w:val="1"/>
      <w:numFmt w:val="bullet"/>
      <w:lvlText w:val=""/>
      <w:lvlJc w:val="left"/>
      <w:pPr>
        <w:tabs>
          <w:tab w:val="num" w:pos="5760"/>
        </w:tabs>
        <w:ind w:left="5760" w:hanging="360"/>
      </w:pPr>
      <w:rPr>
        <w:rFonts w:ascii="Wingdings" w:hAnsi="Wingdings" w:hint="default"/>
      </w:rPr>
    </w:lvl>
    <w:lvl w:ilvl="8" w:tplc="30F0E41C" w:tentative="1">
      <w:start w:val="1"/>
      <w:numFmt w:val="bullet"/>
      <w:lvlText w:val=""/>
      <w:lvlJc w:val="left"/>
      <w:pPr>
        <w:tabs>
          <w:tab w:val="num" w:pos="6480"/>
        </w:tabs>
        <w:ind w:left="6480" w:hanging="360"/>
      </w:pPr>
      <w:rPr>
        <w:rFonts w:ascii="Wingdings" w:hAnsi="Wingdings" w:hint="default"/>
      </w:rPr>
    </w:lvl>
  </w:abstractNum>
  <w:abstractNum w:abstractNumId="3">
    <w:nsid w:val="30C771BC"/>
    <w:multiLevelType w:val="hybridMultilevel"/>
    <w:tmpl w:val="ED2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1723C"/>
    <w:multiLevelType w:val="hybridMultilevel"/>
    <w:tmpl w:val="4AA2BF10"/>
    <w:lvl w:ilvl="0" w:tplc="A6441E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623CF"/>
    <w:multiLevelType w:val="hybridMultilevel"/>
    <w:tmpl w:val="E004B7FC"/>
    <w:lvl w:ilvl="0" w:tplc="A6441E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98C"/>
    <w:rsid w:val="00001E7C"/>
    <w:rsid w:val="0002466A"/>
    <w:rsid w:val="000536DD"/>
    <w:rsid w:val="0009347B"/>
    <w:rsid w:val="000A4159"/>
    <w:rsid w:val="000D3E1F"/>
    <w:rsid w:val="000E1676"/>
    <w:rsid w:val="000F3C00"/>
    <w:rsid w:val="000F41C4"/>
    <w:rsid w:val="00140A44"/>
    <w:rsid w:val="001838EA"/>
    <w:rsid w:val="001C5817"/>
    <w:rsid w:val="001E6FC7"/>
    <w:rsid w:val="00201DB7"/>
    <w:rsid w:val="00231BDB"/>
    <w:rsid w:val="002608D5"/>
    <w:rsid w:val="002A5CB6"/>
    <w:rsid w:val="0034379F"/>
    <w:rsid w:val="0035587E"/>
    <w:rsid w:val="003641FC"/>
    <w:rsid w:val="003732E8"/>
    <w:rsid w:val="003C5A54"/>
    <w:rsid w:val="0043435D"/>
    <w:rsid w:val="004654E7"/>
    <w:rsid w:val="00485F64"/>
    <w:rsid w:val="004A057D"/>
    <w:rsid w:val="004A5166"/>
    <w:rsid w:val="004F08F6"/>
    <w:rsid w:val="00536B51"/>
    <w:rsid w:val="00570FAF"/>
    <w:rsid w:val="00592687"/>
    <w:rsid w:val="00597EC3"/>
    <w:rsid w:val="005C5B00"/>
    <w:rsid w:val="005D4119"/>
    <w:rsid w:val="0060395C"/>
    <w:rsid w:val="0062757B"/>
    <w:rsid w:val="006605A1"/>
    <w:rsid w:val="00675646"/>
    <w:rsid w:val="00686291"/>
    <w:rsid w:val="006C6188"/>
    <w:rsid w:val="006E03ED"/>
    <w:rsid w:val="006E34D2"/>
    <w:rsid w:val="006E67DF"/>
    <w:rsid w:val="006F60AC"/>
    <w:rsid w:val="007404A9"/>
    <w:rsid w:val="0074564F"/>
    <w:rsid w:val="00771503"/>
    <w:rsid w:val="00776A3C"/>
    <w:rsid w:val="007A17BB"/>
    <w:rsid w:val="007B3AB0"/>
    <w:rsid w:val="007F2A56"/>
    <w:rsid w:val="007F498C"/>
    <w:rsid w:val="00802D8B"/>
    <w:rsid w:val="008262CF"/>
    <w:rsid w:val="00866411"/>
    <w:rsid w:val="008848A2"/>
    <w:rsid w:val="00953C4B"/>
    <w:rsid w:val="00981810"/>
    <w:rsid w:val="009820E7"/>
    <w:rsid w:val="00A24F14"/>
    <w:rsid w:val="00A41187"/>
    <w:rsid w:val="00A443B0"/>
    <w:rsid w:val="00AF4C99"/>
    <w:rsid w:val="00B01B3B"/>
    <w:rsid w:val="00B26651"/>
    <w:rsid w:val="00B3003B"/>
    <w:rsid w:val="00B40345"/>
    <w:rsid w:val="00B411B1"/>
    <w:rsid w:val="00B90531"/>
    <w:rsid w:val="00C06FB2"/>
    <w:rsid w:val="00CE0D72"/>
    <w:rsid w:val="00DA0A71"/>
    <w:rsid w:val="00DB76D7"/>
    <w:rsid w:val="00DB7753"/>
    <w:rsid w:val="00DC7159"/>
    <w:rsid w:val="00DD429A"/>
    <w:rsid w:val="00E03DA9"/>
    <w:rsid w:val="00E36DEC"/>
    <w:rsid w:val="00E57770"/>
    <w:rsid w:val="00E72C61"/>
    <w:rsid w:val="00E961B3"/>
    <w:rsid w:val="00EC1E63"/>
    <w:rsid w:val="00EE3B98"/>
    <w:rsid w:val="00FA1871"/>
    <w:rsid w:val="00FD7EF3"/>
    <w:rsid w:val="00FE538D"/>
    <w:rsid w:val="00FE5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0688E-4332-4245-917C-ED893676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BB1DBD4B2048583C4C9A75F2310861E3711DE45BC94C3CB3B706E6D837DA2D629C8015420c0MBK" TargetMode="External"/><Relationship Id="rId18" Type="http://schemas.openxmlformats.org/officeDocument/2006/relationships/hyperlink" Target="consultantplus://offline/ref=D99D485A8717C07C4C92CB944F86F789BB06D15749118F850AD53E82B00CC42DCE61A818254C4F0CJFz4I"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hyperlink" Target="consultantplus://offline/ref=5E27A05F0C9590DCFF9DEACC093E94513169B49EF00391799C2B19FFC640464E9E50563E25MFHAM" TargetMode="External"/><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BB1DBD4B2048583C4C9A75F2310861E3711DB4DBA95C3CB3B706E6D83c7MDK" TargetMode="External"/><Relationship Id="rId17" Type="http://schemas.openxmlformats.org/officeDocument/2006/relationships/hyperlink" Target="consultantplus://offline/ref=D3102ECC368E5F70360062E7EF026D7446475EB46DC3CE4A5C8BBDD26ED2Q9K" TargetMode="External"/><Relationship Id="rId25" Type="http://schemas.openxmlformats.org/officeDocument/2006/relationships/hyperlink" Target="consultantplus://offline/ref=5DFD3238610D79BB722C5BE30ADF45F80EF33F9C830225137D0F8BE2817B961F7562191824sCwEM" TargetMode="Externa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CD1A23DFF157724DB8D32DD51F7994E1FEBFA658B3801754BB5E98F67568E6B2611207581834O4K" TargetMode="External"/><Relationship Id="rId20" Type="http://schemas.openxmlformats.org/officeDocument/2006/relationships/hyperlink" Target="consultantplus://offline/ref=343B1993C5FD204A2E04C8FF0D39E17B0760D592EFBFB25210210346CAC32092C4ED456829D8G0M" TargetMode="External"/><Relationship Id="rId29" Type="http://schemas.openxmlformats.org/officeDocument/2006/relationships/chart" Target="charts/chart3.xml"/><Relationship Id="rId41"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B1DBD4B2048583C4C9A75F2310861E3711DE45BC94C3CB3B706E6D837DA2D629C8015420c0MFK" TargetMode="External"/><Relationship Id="rId24" Type="http://schemas.openxmlformats.org/officeDocument/2006/relationships/hyperlink" Target="consultantplus://offline/ref=5DFD3238610D79BB722C5BE30ADF45F80EF33F9C830225137D0F8BE2817B961F7562191A20CF6839sCw1M" TargetMode="Externa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hyperlink" Target="consultantplus://offline/ref=93CD1A23DFF157724DB8D32DD51F7994E1FFBBAF5EB5801754BB5E98F637O5K" TargetMode="External"/><Relationship Id="rId23" Type="http://schemas.openxmlformats.org/officeDocument/2006/relationships/hyperlink" Target="consultantplus://offline/ref=5DFD3238610D79BB722C5BE30ADF45F80EF33F9C830225137D0F8BE2817B961F7562191821sCwBM"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hyperlink" Target="consultantplus://offline/ref=9BB1DBD4B2048583C4C9A75F2310861E3711DB4DBA95C3CB3B706E6D83c7MDK" TargetMode="External"/><Relationship Id="rId19" Type="http://schemas.openxmlformats.org/officeDocument/2006/relationships/hyperlink" Target="http://www.fas.gov.ru" TargetMode="External"/><Relationship Id="rId31" Type="http://schemas.openxmlformats.org/officeDocument/2006/relationships/chart" Target="charts/chart5.xml"/><Relationship Id="rId44"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yperlink" Target="consultantplus://offline/ref=9BB1DBD4B2048583C4C9A75F2310861E3711DE45BC94C3CB3B706E6D837DA2D629C8015420c0MFK" TargetMode="External"/><Relationship Id="rId14" Type="http://schemas.openxmlformats.org/officeDocument/2006/relationships/hyperlink" Target="consultantplus://offline/ref=9BB1DBD4B2048583C4C9A75F2310861E3711DB4DBA95C3CB3B706E6D83c7MDK" TargetMode="External"/><Relationship Id="rId22" Type="http://schemas.openxmlformats.org/officeDocument/2006/relationships/hyperlink" Target="consultantplus://offline/ref=5DFD3238610D79BB722C5BE30ADF45F80EF33F9C830225137D0F8BE2817B961F7562191821sCwFM"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0.201.0.103\ca_fas\13_&#1043;&#1086;&#1089;&#1089;&#1083;&#1091;&#1078;&#1073;&#1072;\&#1040;&#1085;&#1072;&#1083;&#1080;&#1090;&#1080;&#1095;&#1077;&#1089;&#1082;&#1080;&#1081;%20&#1086;&#1090;&#1076;&#1077;&#1083;\&#1044;&#1086;&#1082;&#1083;&#1072;&#1076;%20&#1086;%20&#1089;&#1086;&#1089;&#1090;&#1086;&#1103;&#1085;&#1080;&#1080;%20&#1082;&#1086;&#1085;&#1082;&#1091;&#1088;&#1077;&#1085;&#1094;&#1080;&#1080;\&#1047;&#1040;%202017\&#1050;&#1091;&#1073;&#1099;.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'[Кубы.xlsx]2017 Р1'!$B$25</c:f>
              <c:strCache>
                <c:ptCount val="1"/>
                <c:pt idx="0">
                  <c:v>всего</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Р1'!$C$25:$G$25</c:f>
              <c:numCache>
                <c:formatCode>General</c:formatCode>
                <c:ptCount val="5"/>
                <c:pt idx="0">
                  <c:v>29912</c:v>
                </c:pt>
                <c:pt idx="1">
                  <c:v>39689</c:v>
                </c:pt>
                <c:pt idx="2">
                  <c:v>51546</c:v>
                </c:pt>
                <c:pt idx="3">
                  <c:v>44587</c:v>
                </c:pt>
                <c:pt idx="4">
                  <c:v>39468</c:v>
                </c:pt>
              </c:numCache>
            </c:numRef>
          </c:val>
          <c:smooth val="0"/>
        </c:ser>
        <c:ser>
          <c:idx val="1"/>
          <c:order val="1"/>
          <c:tx>
            <c:strRef>
              <c:f>'[Кубы.xlsx]2017 Р1'!$B$26</c:f>
              <c:strCache>
                <c:ptCount val="1"/>
                <c:pt idx="0">
                  <c:v>статья 10</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Р1'!$C$26:$G$26</c:f>
              <c:numCache>
                <c:formatCode>General</c:formatCode>
                <c:ptCount val="5"/>
                <c:pt idx="0">
                  <c:v>18397</c:v>
                </c:pt>
                <c:pt idx="1">
                  <c:v>26588</c:v>
                </c:pt>
                <c:pt idx="2">
                  <c:v>37014</c:v>
                </c:pt>
                <c:pt idx="3">
                  <c:v>29935</c:v>
                </c:pt>
                <c:pt idx="4">
                  <c:v>23824</c:v>
                </c:pt>
              </c:numCache>
            </c:numRef>
          </c:val>
          <c:smooth val="0"/>
        </c:ser>
        <c:ser>
          <c:idx val="2"/>
          <c:order val="2"/>
          <c:tx>
            <c:strRef>
              <c:f>'[Кубы.xlsx]2017 Р1'!$B$27</c:f>
              <c:strCache>
                <c:ptCount val="1"/>
                <c:pt idx="0">
                  <c:v>статьи 11 + 11.1</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Р1'!$C$27:$G$27</c:f>
              <c:numCache>
                <c:formatCode>General</c:formatCode>
                <c:ptCount val="5"/>
                <c:pt idx="0">
                  <c:v>1084</c:v>
                </c:pt>
                <c:pt idx="1">
                  <c:v>2130</c:v>
                </c:pt>
                <c:pt idx="2">
                  <c:v>2151</c:v>
                </c:pt>
                <c:pt idx="3">
                  <c:v>1390</c:v>
                </c:pt>
                <c:pt idx="4">
                  <c:v>1757</c:v>
                </c:pt>
              </c:numCache>
            </c:numRef>
          </c:val>
          <c:smooth val="0"/>
        </c:ser>
        <c:ser>
          <c:idx val="3"/>
          <c:order val="3"/>
          <c:tx>
            <c:strRef>
              <c:f>'[Кубы.xlsx]2017 Р1'!$B$28</c:f>
              <c:strCache>
                <c:ptCount val="1"/>
                <c:pt idx="0">
                  <c:v>статьи 14.1 - 14.8</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dLbl>
              <c:idx val="0"/>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9880188275566969E-2"/>
                  <c:y val="-2.940393162922529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880188275566969E-2"/>
                  <c:y val="-3.768379087161825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9880188275566969E-2"/>
                  <c:y val="-4.182372049281461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3.768379087161817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Р1'!$C$28:$G$28</c:f>
              <c:numCache>
                <c:formatCode>General</c:formatCode>
                <c:ptCount val="5"/>
                <c:pt idx="0">
                  <c:v>2568</c:v>
                </c:pt>
                <c:pt idx="1">
                  <c:v>3051</c:v>
                </c:pt>
                <c:pt idx="2">
                  <c:v>3439</c:v>
                </c:pt>
                <c:pt idx="3">
                  <c:v>3623</c:v>
                </c:pt>
                <c:pt idx="4">
                  <c:v>3466</c:v>
                </c:pt>
              </c:numCache>
            </c:numRef>
          </c:val>
          <c:smooth val="0"/>
        </c:ser>
        <c:ser>
          <c:idx val="4"/>
          <c:order val="4"/>
          <c:tx>
            <c:strRef>
              <c:f>'[Кубы.xlsx]2017 Р1'!$B$29</c:f>
              <c:strCache>
                <c:ptCount val="1"/>
                <c:pt idx="0">
                  <c:v>органы власти</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Р1'!$C$29:$G$29</c:f>
              <c:numCache>
                <c:formatCode>General</c:formatCode>
                <c:ptCount val="5"/>
                <c:pt idx="0">
                  <c:v>6672</c:v>
                </c:pt>
                <c:pt idx="1">
                  <c:v>6452</c:v>
                </c:pt>
                <c:pt idx="2">
                  <c:v>7325</c:v>
                </c:pt>
                <c:pt idx="3">
                  <c:v>7461</c:v>
                </c:pt>
                <c:pt idx="4">
                  <c:v>7488</c:v>
                </c:pt>
              </c:numCache>
            </c:numRef>
          </c:val>
          <c:smooth val="0"/>
        </c:ser>
        <c:dLbls>
          <c:dLblPos val="t"/>
          <c:showLegendKey val="0"/>
          <c:showVal val="1"/>
          <c:showCatName val="0"/>
          <c:showSerName val="0"/>
          <c:showPercent val="0"/>
          <c:showBubbleSize val="0"/>
        </c:dLbls>
        <c:smooth val="0"/>
        <c:axId val="408943144"/>
        <c:axId val="408942752"/>
      </c:lineChart>
      <c:catAx>
        <c:axId val="40894314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408942752"/>
        <c:crosses val="autoZero"/>
        <c:auto val="1"/>
        <c:lblAlgn val="ctr"/>
        <c:lblOffset val="100"/>
        <c:noMultiLvlLbl val="0"/>
      </c:catAx>
      <c:valAx>
        <c:axId val="408942752"/>
        <c:scaling>
          <c:orientation val="minMax"/>
          <c:max val="52000"/>
          <c:min val="0"/>
        </c:scaling>
        <c:delete val="1"/>
        <c:axPos val="l"/>
        <c:numFmt formatCode="General" sourceLinked="1"/>
        <c:majorTickMark val="out"/>
        <c:minorTickMark val="none"/>
        <c:tickLblPos val="nextTo"/>
        <c:crossAx val="408943144"/>
        <c:crosses val="autoZero"/>
        <c:crossBetween val="between"/>
        <c:majorUnit val="10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Р10'!$A$15</c:f>
              <c:strCache>
                <c:ptCount val="1"/>
                <c:pt idx="0">
                  <c:v>ст. 16</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Р10'!$B$15:$F$15</c:f>
              <c:numCache>
                <c:formatCode>General</c:formatCode>
                <c:ptCount val="5"/>
                <c:pt idx="0">
                  <c:v>438</c:v>
                </c:pt>
                <c:pt idx="1">
                  <c:v>351</c:v>
                </c:pt>
                <c:pt idx="2">
                  <c:v>224</c:v>
                </c:pt>
                <c:pt idx="3">
                  <c:v>238</c:v>
                </c:pt>
                <c:pt idx="4">
                  <c:v>239</c:v>
                </c:pt>
              </c:numCache>
            </c:numRef>
          </c:val>
        </c:ser>
        <c:ser>
          <c:idx val="1"/>
          <c:order val="1"/>
          <c:tx>
            <c:strRef>
              <c:f>'2017 Р10'!$A$16</c:f>
              <c:strCache>
                <c:ptCount val="1"/>
                <c:pt idx="0">
                  <c:v>ст. 11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Р10'!$B$16:$F$16</c:f>
              <c:numCache>
                <c:formatCode>General</c:formatCode>
                <c:ptCount val="5"/>
                <c:pt idx="0">
                  <c:v>261</c:v>
                </c:pt>
                <c:pt idx="1">
                  <c:v>311</c:v>
                </c:pt>
                <c:pt idx="2">
                  <c:v>370</c:v>
                </c:pt>
                <c:pt idx="3">
                  <c:v>357</c:v>
                </c:pt>
                <c:pt idx="4">
                  <c:v>415</c:v>
                </c:pt>
              </c:numCache>
            </c:numRef>
          </c:val>
        </c:ser>
        <c:ser>
          <c:idx val="2"/>
          <c:order val="2"/>
          <c:tx>
            <c:strRef>
              <c:f>'2017 Р10'!$A$17</c:f>
              <c:strCache>
                <c:ptCount val="1"/>
                <c:pt idx="0">
                  <c:v>ст. 11.1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Р10'!$B$17:$F$17</c:f>
              <c:numCache>
                <c:formatCode>General</c:formatCode>
                <c:ptCount val="5"/>
                <c:pt idx="0">
                  <c:v>11</c:v>
                </c:pt>
                <c:pt idx="1">
                  <c:v>8</c:v>
                </c:pt>
                <c:pt idx="2">
                  <c:v>5</c:v>
                </c:pt>
                <c:pt idx="3">
                  <c:v>3</c:v>
                </c:pt>
                <c:pt idx="4">
                  <c:v>5</c:v>
                </c:pt>
              </c:numCache>
            </c:numRef>
          </c:val>
        </c:ser>
        <c:dLbls>
          <c:dLblPos val="outEnd"/>
          <c:showLegendKey val="0"/>
          <c:showVal val="1"/>
          <c:showCatName val="0"/>
          <c:showSerName val="0"/>
          <c:showPercent val="0"/>
          <c:showBubbleSize val="0"/>
        </c:dLbls>
        <c:gapWidth val="100"/>
        <c:overlap val="-24"/>
        <c:axId val="412001048"/>
        <c:axId val="412001440"/>
      </c:barChart>
      <c:catAx>
        <c:axId val="412001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12001440"/>
        <c:crosses val="autoZero"/>
        <c:auto val="1"/>
        <c:lblAlgn val="ctr"/>
        <c:lblOffset val="100"/>
        <c:noMultiLvlLbl val="0"/>
      </c:catAx>
      <c:valAx>
        <c:axId val="412001440"/>
        <c:scaling>
          <c:orientation val="minMax"/>
        </c:scaling>
        <c:delete val="1"/>
        <c:axPos val="l"/>
        <c:numFmt formatCode="General" sourceLinked="1"/>
        <c:majorTickMark val="none"/>
        <c:minorTickMark val="none"/>
        <c:tickLblPos val="nextTo"/>
        <c:crossAx val="412001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Р11'!$B$15</c:f>
              <c:strCache>
                <c:ptCount val="1"/>
                <c:pt idx="0">
                  <c:v>ходатайства</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Р11'!$C$15:$G$15</c:f>
              <c:numCache>
                <c:formatCode>General</c:formatCode>
                <c:ptCount val="5"/>
                <c:pt idx="0">
                  <c:v>2258</c:v>
                </c:pt>
                <c:pt idx="1">
                  <c:v>1928</c:v>
                </c:pt>
                <c:pt idx="2">
                  <c:v>1749</c:v>
                </c:pt>
                <c:pt idx="3">
                  <c:v>1379</c:v>
                </c:pt>
                <c:pt idx="4">
                  <c:v>1103</c:v>
                </c:pt>
              </c:numCache>
            </c:numRef>
          </c:val>
          <c:smooth val="0"/>
        </c:ser>
        <c:ser>
          <c:idx val="1"/>
          <c:order val="1"/>
          <c:tx>
            <c:strRef>
              <c:f>'2017 Р11'!$B$16</c:f>
              <c:strCache>
                <c:ptCount val="1"/>
                <c:pt idx="0">
                  <c:v>уведомления</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Р11'!$C$16:$G$16</c:f>
              <c:numCache>
                <c:formatCode>General</c:formatCode>
                <c:ptCount val="5"/>
                <c:pt idx="0">
                  <c:v>1913</c:v>
                </c:pt>
                <c:pt idx="1">
                  <c:v>391</c:v>
                </c:pt>
                <c:pt idx="2">
                  <c:v>165</c:v>
                </c:pt>
                <c:pt idx="3">
                  <c:v>83</c:v>
                </c:pt>
                <c:pt idx="4">
                  <c:v>128</c:v>
                </c:pt>
              </c:numCache>
            </c:numRef>
          </c:val>
          <c:smooth val="0"/>
        </c:ser>
        <c:dLbls>
          <c:dLblPos val="t"/>
          <c:showLegendKey val="0"/>
          <c:showVal val="1"/>
          <c:showCatName val="0"/>
          <c:showSerName val="0"/>
          <c:showPercent val="0"/>
          <c:showBubbleSize val="0"/>
        </c:dLbls>
        <c:smooth val="0"/>
        <c:axId val="412002224"/>
        <c:axId val="412002616"/>
      </c:lineChart>
      <c:catAx>
        <c:axId val="41200222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412002616"/>
        <c:crosses val="autoZero"/>
        <c:auto val="1"/>
        <c:lblAlgn val="ctr"/>
        <c:lblOffset val="100"/>
        <c:noMultiLvlLbl val="0"/>
      </c:catAx>
      <c:valAx>
        <c:axId val="412002616"/>
        <c:scaling>
          <c:orientation val="minMax"/>
        </c:scaling>
        <c:delete val="1"/>
        <c:axPos val="l"/>
        <c:numFmt formatCode="General" sourceLinked="1"/>
        <c:majorTickMark val="none"/>
        <c:minorTickMark val="none"/>
        <c:tickLblPos val="nextTo"/>
        <c:crossAx val="41200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Р12'!$B$14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Р12'!$C$14:$G$14</c:f>
              <c:numCache>
                <c:formatCode>General</c:formatCode>
                <c:ptCount val="5"/>
                <c:pt idx="0">
                  <c:v>923</c:v>
                </c:pt>
                <c:pt idx="1">
                  <c:v>864</c:v>
                </c:pt>
                <c:pt idx="2">
                  <c:v>841</c:v>
                </c:pt>
                <c:pt idx="3">
                  <c:v>288</c:v>
                </c:pt>
                <c:pt idx="4">
                  <c:v>269</c:v>
                </c:pt>
              </c:numCache>
            </c:numRef>
          </c:val>
        </c:ser>
        <c:ser>
          <c:idx val="1"/>
          <c:order val="1"/>
          <c:tx>
            <c:strRef>
              <c:f>'2017 Р12'!$B$15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Р12'!$C$15:$G$15</c:f>
              <c:numCache>
                <c:formatCode>General</c:formatCode>
                <c:ptCount val="5"/>
                <c:pt idx="3">
                  <c:v>621</c:v>
                </c:pt>
                <c:pt idx="4">
                  <c:v>558</c:v>
                </c:pt>
              </c:numCache>
            </c:numRef>
          </c:val>
        </c:ser>
        <c:dLbls>
          <c:dLblPos val="ctr"/>
          <c:showLegendKey val="0"/>
          <c:showVal val="1"/>
          <c:showCatName val="0"/>
          <c:showSerName val="0"/>
          <c:showPercent val="0"/>
          <c:showBubbleSize val="0"/>
        </c:dLbls>
        <c:gapWidth val="150"/>
        <c:overlap val="100"/>
        <c:axId val="412003400"/>
        <c:axId val="412003792"/>
      </c:barChart>
      <c:catAx>
        <c:axId val="412003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12003792"/>
        <c:crosses val="autoZero"/>
        <c:auto val="1"/>
        <c:lblAlgn val="ctr"/>
        <c:lblOffset val="100"/>
        <c:noMultiLvlLbl val="0"/>
      </c:catAx>
      <c:valAx>
        <c:axId val="412003792"/>
        <c:scaling>
          <c:orientation val="minMax"/>
        </c:scaling>
        <c:delete val="1"/>
        <c:axPos val="l"/>
        <c:numFmt formatCode="General" sourceLinked="1"/>
        <c:majorTickMark val="none"/>
        <c:minorTickMark val="none"/>
        <c:tickLblPos val="nextTo"/>
        <c:crossAx val="4120034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'2017 Р13'!$B$14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Р13'!$C$14:$G$14</c:f>
              <c:numCache>
                <c:formatCode>General</c:formatCode>
                <c:ptCount val="5"/>
                <c:pt idx="0">
                  <c:v>2923</c:v>
                </c:pt>
                <c:pt idx="1">
                  <c:v>2647</c:v>
                </c:pt>
                <c:pt idx="2">
                  <c:v>2542</c:v>
                </c:pt>
                <c:pt idx="3">
                  <c:v>336</c:v>
                </c:pt>
                <c:pt idx="4">
                  <c:v>436</c:v>
                </c:pt>
              </c:numCache>
            </c:numRef>
          </c:val>
        </c:ser>
        <c:ser>
          <c:idx val="1"/>
          <c:order val="1"/>
          <c:tx>
            <c:strRef>
              <c:f>'2017 Р13'!$B$15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Р13'!$C$15:$G$15</c:f>
              <c:numCache>
                <c:formatCode>General</c:formatCode>
                <c:ptCount val="5"/>
                <c:pt idx="3">
                  <c:v>2583</c:v>
                </c:pt>
                <c:pt idx="4">
                  <c:v>1970</c:v>
                </c:pt>
              </c:numCache>
            </c:numRef>
          </c:val>
        </c:ser>
        <c:dLbls>
          <c:dLblPos val="ctr"/>
          <c:showLegendKey val="0"/>
          <c:showVal val="1"/>
          <c:showCatName val="0"/>
          <c:showSerName val="0"/>
          <c:showPercent val="0"/>
          <c:showBubbleSize val="0"/>
        </c:dLbls>
        <c:gapWidth val="150"/>
        <c:overlap val="100"/>
        <c:axId val="412004576"/>
        <c:axId val="412004968"/>
      </c:barChart>
      <c:catAx>
        <c:axId val="41200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12004968"/>
        <c:crosses val="autoZero"/>
        <c:auto val="1"/>
        <c:lblAlgn val="ctr"/>
        <c:lblOffset val="100"/>
        <c:noMultiLvlLbl val="0"/>
      </c:catAx>
      <c:valAx>
        <c:axId val="412004968"/>
        <c:scaling>
          <c:orientation val="minMax"/>
        </c:scaling>
        <c:delete val="1"/>
        <c:axPos val="l"/>
        <c:numFmt formatCode="General" sourceLinked="1"/>
        <c:majorTickMark val="none"/>
        <c:minorTickMark val="none"/>
        <c:tickLblPos val="nextTo"/>
        <c:crossAx val="41200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Р14'!$B$14</c:f>
              <c:strCache>
                <c:ptCount val="1"/>
                <c:pt idx="0">
                  <c:v>п.7 ч.1 ст.15</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dLbl>
              <c:idx val="0"/>
              <c:layout>
                <c:manualLayout>
                  <c:x val="2.9584500827550701E-2"/>
                  <c:y val="-0.2127593502565615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5198020799587064E-17"/>
                  <c:y val="-0.1660560782490236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9307501379251169E-3"/>
                  <c:y val="-0.1868130880301515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9584500827550701E-2"/>
                  <c:y val="-9.5135195820269482E-1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Р14'!$C$14:$G$14</c:f>
              <c:numCache>
                <c:formatCode>General</c:formatCode>
                <c:ptCount val="5"/>
                <c:pt idx="0">
                  <c:v>607</c:v>
                </c:pt>
                <c:pt idx="1">
                  <c:v>476</c:v>
                </c:pt>
                <c:pt idx="2">
                  <c:v>578</c:v>
                </c:pt>
                <c:pt idx="3">
                  <c:v>71</c:v>
                </c:pt>
                <c:pt idx="4">
                  <c:v>77</c:v>
                </c:pt>
              </c:numCache>
            </c:numRef>
          </c:val>
        </c:ser>
        <c:ser>
          <c:idx val="1"/>
          <c:order val="1"/>
          <c:tx>
            <c:strRef>
              <c:f>'2017 Р14'!$B$15</c:f>
              <c:strCache>
                <c:ptCount val="1"/>
                <c:pt idx="0">
                  <c:v>ст.19-21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2.9584500827550701E-2"/>
                  <c:y val="-6.227102934338386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85957964603578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653750689625584E-3"/>
                  <c:y val="-6.227102934338387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792250413775441E-2"/>
                  <c:y val="-7.78387866792298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653750689625584E-3"/>
                  <c:y val="-5.70817768981019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Р14'!$C$15:$G$15</c:f>
              <c:numCache>
                <c:formatCode>General</c:formatCode>
                <c:ptCount val="5"/>
                <c:pt idx="0">
                  <c:v>45</c:v>
                </c:pt>
                <c:pt idx="1">
                  <c:v>78</c:v>
                </c:pt>
                <c:pt idx="2">
                  <c:v>30</c:v>
                </c:pt>
                <c:pt idx="3">
                  <c:v>9</c:v>
                </c:pt>
                <c:pt idx="4">
                  <c:v>6</c:v>
                </c:pt>
              </c:numCache>
            </c:numRef>
          </c:val>
        </c:ser>
        <c:dLbls>
          <c:showLegendKey val="0"/>
          <c:showVal val="1"/>
          <c:showCatName val="0"/>
          <c:showSerName val="0"/>
          <c:showPercent val="0"/>
          <c:showBubbleSize val="0"/>
        </c:dLbls>
        <c:axId val="412010592"/>
        <c:axId val="412010984"/>
      </c:areaChart>
      <c:catAx>
        <c:axId val="4120105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12010984"/>
        <c:crosses val="autoZero"/>
        <c:auto val="1"/>
        <c:lblAlgn val="ctr"/>
        <c:lblOffset val="100"/>
        <c:noMultiLvlLbl val="0"/>
      </c:catAx>
      <c:valAx>
        <c:axId val="412010984"/>
        <c:scaling>
          <c:orientation val="minMax"/>
          <c:max val="700"/>
          <c:min val="0"/>
        </c:scaling>
        <c:delete val="1"/>
        <c:axPos val="l"/>
        <c:numFmt formatCode="General" sourceLinked="1"/>
        <c:majorTickMark val="out"/>
        <c:minorTickMark val="none"/>
        <c:tickLblPos val="nextTo"/>
        <c:crossAx val="412010592"/>
        <c:crosses val="autoZero"/>
        <c:crossBetween val="midCat"/>
        <c:majorUnit val="65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Р15'!$B$7:$B$11</c:f>
              <c:strCache>
                <c:ptCount val="5"/>
                <c:pt idx="0">
                  <c:v>Рассмотрено заявлений о даче согласия
на предоставление преференции</c:v>
                </c:pt>
                <c:pt idx="1">
                  <c:v>Принято решений о даче согласия
на предоставление преференции</c:v>
                </c:pt>
                <c:pt idx="2">
                  <c:v>Принято решений о даче согласия
и введении ограничения</c:v>
                </c:pt>
                <c:pt idx="3">
                  <c:v>Принято решений об отказе
в предоставлении преференции</c:v>
                </c:pt>
                <c:pt idx="4">
                  <c:v>Принято решений о том, что согласие антимонопольного органа не требуется</c:v>
                </c:pt>
              </c:strCache>
            </c:strRef>
          </c:cat>
          <c:val>
            <c:numRef>
              <c:f>'2017 Р15'!$C$7:$C$11</c:f>
              <c:numCache>
                <c:formatCode>General</c:formatCode>
                <c:ptCount val="5"/>
                <c:pt idx="0">
                  <c:v>2152</c:v>
                </c:pt>
                <c:pt idx="1">
                  <c:v>1094</c:v>
                </c:pt>
                <c:pt idx="2">
                  <c:v>507</c:v>
                </c:pt>
                <c:pt idx="3">
                  <c:v>350</c:v>
                </c:pt>
                <c:pt idx="4">
                  <c:v>201</c:v>
                </c:pt>
              </c:numCache>
            </c:numRef>
          </c:val>
        </c:ser>
        <c:dLbls>
          <c:dLblPos val="outEnd"/>
          <c:showLegendKey val="0"/>
          <c:showVal val="1"/>
          <c:showCatName val="0"/>
          <c:showSerName val="0"/>
          <c:showPercent val="0"/>
          <c:showBubbleSize val="0"/>
        </c:dLbls>
        <c:gapWidth val="100"/>
        <c:axId val="412011768"/>
        <c:axId val="412012160"/>
      </c:barChart>
      <c:catAx>
        <c:axId val="412011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12012160"/>
        <c:crosses val="autoZero"/>
        <c:auto val="1"/>
        <c:lblAlgn val="ctr"/>
        <c:lblOffset val="100"/>
        <c:noMultiLvlLbl val="0"/>
      </c:catAx>
      <c:valAx>
        <c:axId val="412012160"/>
        <c:scaling>
          <c:orientation val="minMax"/>
        </c:scaling>
        <c:delete val="1"/>
        <c:axPos val="b"/>
        <c:numFmt formatCode="General" sourceLinked="1"/>
        <c:majorTickMark val="none"/>
        <c:minorTickMark val="none"/>
        <c:tickLblPos val="nextTo"/>
        <c:crossAx val="412011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Р16'!$B$12:$B$16</c:f>
              <c:strCache>
                <c:ptCount val="5"/>
                <c:pt idx="0">
                  <c:v>2013</c:v>
                </c:pt>
                <c:pt idx="1">
                  <c:v>2014</c:v>
                </c:pt>
                <c:pt idx="2">
                  <c:v>2015</c:v>
                </c:pt>
                <c:pt idx="3">
                  <c:v>2016</c:v>
                </c:pt>
                <c:pt idx="4">
                  <c:v>2017</c:v>
                </c:pt>
              </c:strCache>
            </c:strRef>
          </c:cat>
          <c:val>
            <c:numRef>
              <c:f>'2017 Р16'!$C$12:$C$16</c:f>
              <c:numCache>
                <c:formatCode>General</c:formatCode>
                <c:ptCount val="5"/>
                <c:pt idx="0">
                  <c:v>222</c:v>
                </c:pt>
                <c:pt idx="1">
                  <c:v>226</c:v>
                </c:pt>
                <c:pt idx="2">
                  <c:v>173</c:v>
                </c:pt>
                <c:pt idx="3">
                  <c:v>78</c:v>
                </c:pt>
                <c:pt idx="4">
                  <c:v>73</c:v>
                </c:pt>
              </c:numCache>
            </c:numRef>
          </c:val>
          <c:smooth val="0"/>
        </c:ser>
        <c:dLbls>
          <c:dLblPos val="t"/>
          <c:showLegendKey val="0"/>
          <c:showVal val="1"/>
          <c:showCatName val="0"/>
          <c:showSerName val="0"/>
          <c:showPercent val="0"/>
          <c:showBubbleSize val="0"/>
        </c:dLbls>
        <c:smooth val="0"/>
        <c:axId val="412012944"/>
        <c:axId val="412013336"/>
      </c:lineChart>
      <c:catAx>
        <c:axId val="41201294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412013336"/>
        <c:crosses val="autoZero"/>
        <c:auto val="1"/>
        <c:lblAlgn val="ctr"/>
        <c:lblOffset val="100"/>
        <c:noMultiLvlLbl val="0"/>
      </c:catAx>
      <c:valAx>
        <c:axId val="412013336"/>
        <c:scaling>
          <c:orientation val="minMax"/>
        </c:scaling>
        <c:delete val="1"/>
        <c:axPos val="l"/>
        <c:numFmt formatCode="General" sourceLinked="1"/>
        <c:majorTickMark val="none"/>
        <c:minorTickMark val="none"/>
        <c:tickLblPos val="nextTo"/>
        <c:crossAx val="412012944"/>
        <c:crosses val="autoZero"/>
        <c:crossBetween val="between"/>
        <c:majorUnit val="2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Р17'!$C$11</c:f>
              <c:strCache>
                <c:ptCount val="1"/>
                <c:pt idx="0">
                  <c:v>поступило жалоб</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Р17'!$C$12:$C$16</c:f>
              <c:numCache>
                <c:formatCode>General</c:formatCode>
                <c:ptCount val="5"/>
                <c:pt idx="0">
                  <c:v>5298</c:v>
                </c:pt>
                <c:pt idx="1">
                  <c:v>8503</c:v>
                </c:pt>
                <c:pt idx="2">
                  <c:v>11228</c:v>
                </c:pt>
                <c:pt idx="3">
                  <c:v>15042</c:v>
                </c:pt>
                <c:pt idx="4">
                  <c:v>13655</c:v>
                </c:pt>
              </c:numCache>
            </c:numRef>
          </c:val>
          <c:smooth val="0"/>
        </c:ser>
        <c:ser>
          <c:idx val="1"/>
          <c:order val="1"/>
          <c:tx>
            <c:strRef>
              <c:f>'2017 Р17'!$D$11</c:f>
              <c:strCache>
                <c:ptCount val="1"/>
                <c:pt idx="0">
                  <c:v>жалоба признана обоснованной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Р17'!$D$12:$D$16</c:f>
              <c:numCache>
                <c:formatCode>General</c:formatCode>
                <c:ptCount val="5"/>
                <c:pt idx="0">
                  <c:v>2461</c:v>
                </c:pt>
                <c:pt idx="1">
                  <c:v>3370</c:v>
                </c:pt>
                <c:pt idx="2">
                  <c:v>4938</c:v>
                </c:pt>
                <c:pt idx="3">
                  <c:v>5956</c:v>
                </c:pt>
                <c:pt idx="4">
                  <c:v>5159</c:v>
                </c:pt>
              </c:numCache>
            </c:numRef>
          </c:val>
          <c:smooth val="0"/>
        </c:ser>
        <c:dLbls>
          <c:dLblPos val="t"/>
          <c:showLegendKey val="0"/>
          <c:showVal val="1"/>
          <c:showCatName val="0"/>
          <c:showSerName val="0"/>
          <c:showPercent val="0"/>
          <c:showBubbleSize val="0"/>
        </c:dLbls>
        <c:smooth val="0"/>
        <c:axId val="412014120"/>
        <c:axId val="412014512"/>
      </c:lineChart>
      <c:catAx>
        <c:axId val="41201412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412014512"/>
        <c:crosses val="autoZero"/>
        <c:auto val="1"/>
        <c:lblAlgn val="ctr"/>
        <c:lblOffset val="100"/>
        <c:noMultiLvlLbl val="0"/>
      </c:catAx>
      <c:valAx>
        <c:axId val="412014512"/>
        <c:scaling>
          <c:orientation val="minMax"/>
        </c:scaling>
        <c:delete val="1"/>
        <c:axPos val="l"/>
        <c:numFmt formatCode="General" sourceLinked="1"/>
        <c:majorTickMark val="none"/>
        <c:minorTickMark val="none"/>
        <c:tickLblPos val="nextTo"/>
        <c:crossAx val="412014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Р18'!$C$11</c:f>
              <c:strCache>
                <c:ptCount val="1"/>
                <c:pt idx="0">
                  <c:v>доля обоснованных
жалоб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Р18'!$C$12:$C$16</c:f>
              <c:numCache>
                <c:formatCode>0%</c:formatCode>
                <c:ptCount val="5"/>
                <c:pt idx="0">
                  <c:v>0.46451491128727823</c:v>
                </c:pt>
                <c:pt idx="1">
                  <c:v>0.39633070680936139</c:v>
                </c:pt>
                <c:pt idx="2">
                  <c:v>0.43979337370858568</c:v>
                </c:pt>
                <c:pt idx="3">
                  <c:v>0.39595798431059698</c:v>
                </c:pt>
                <c:pt idx="4">
                  <c:v>0.37781032588795316</c:v>
                </c:pt>
              </c:numCache>
            </c:numRef>
          </c:val>
        </c:ser>
        <c:ser>
          <c:idx val="1"/>
          <c:order val="1"/>
          <c:tx>
            <c:strRef>
              <c:f>'2017 Р18'!$D$11</c:f>
              <c:strCache>
                <c:ptCount val="1"/>
                <c:pt idx="0">
                  <c:v>доля обжалованных
решений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Р18'!$D$12:$D$16</c:f>
              <c:numCache>
                <c:formatCode>0%</c:formatCode>
                <c:ptCount val="5"/>
                <c:pt idx="0">
                  <c:v>0.17594473791141813</c:v>
                </c:pt>
                <c:pt idx="1">
                  <c:v>0.18991097922848665</c:v>
                </c:pt>
                <c:pt idx="2">
                  <c:v>0.16666666666666666</c:v>
                </c:pt>
                <c:pt idx="3">
                  <c:v>0.24227669576897246</c:v>
                </c:pt>
                <c:pt idx="4">
                  <c:v>0.31575886799767394</c:v>
                </c:pt>
              </c:numCache>
            </c:numRef>
          </c:val>
        </c:ser>
        <c:ser>
          <c:idx val="2"/>
          <c:order val="2"/>
          <c:tx>
            <c:strRef>
              <c:f>'2017 Р18'!$E$11</c:f>
              <c:strCache>
                <c:ptCount val="1"/>
                <c:pt idx="0">
                  <c:v>доля отмененных
судом решений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Р18'!$E$12:$E$16</c:f>
              <c:numCache>
                <c:formatCode>0%</c:formatCode>
                <c:ptCount val="5"/>
                <c:pt idx="0">
                  <c:v>2.6412027631044291E-2</c:v>
                </c:pt>
                <c:pt idx="1">
                  <c:v>2.6112759643916916E-2</c:v>
                </c:pt>
                <c:pt idx="2">
                  <c:v>2.1061158363710003E-2</c:v>
                </c:pt>
                <c:pt idx="3">
                  <c:v>3.3411685695097379E-2</c:v>
                </c:pt>
                <c:pt idx="4">
                  <c:v>7.1913161465400277E-2</c:v>
                </c:pt>
              </c:numCache>
            </c:numRef>
          </c:val>
        </c:ser>
        <c:dLbls>
          <c:dLblPos val="outEnd"/>
          <c:showLegendKey val="0"/>
          <c:showVal val="1"/>
          <c:showCatName val="0"/>
          <c:showSerName val="0"/>
          <c:showPercent val="0"/>
          <c:showBubbleSize val="0"/>
        </c:dLbls>
        <c:gapWidth val="100"/>
        <c:overlap val="-24"/>
        <c:axId val="412015296"/>
        <c:axId val="412015688"/>
      </c:barChart>
      <c:catAx>
        <c:axId val="41201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12015688"/>
        <c:crosses val="autoZero"/>
        <c:auto val="1"/>
        <c:lblAlgn val="ctr"/>
        <c:lblOffset val="100"/>
        <c:noMultiLvlLbl val="0"/>
      </c:catAx>
      <c:valAx>
        <c:axId val="412015688"/>
        <c:scaling>
          <c:orientation val="minMax"/>
        </c:scaling>
        <c:delete val="1"/>
        <c:axPos val="l"/>
        <c:numFmt formatCode="0%" sourceLinked="1"/>
        <c:majorTickMark val="none"/>
        <c:minorTickMark val="none"/>
        <c:tickLblPos val="nextTo"/>
        <c:crossAx val="412015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72698630301719"/>
          <c:y val="2.2826797385620917E-2"/>
          <c:w val="0.47793265685325281"/>
          <c:h val="0.90437042483660135"/>
        </c:manualLayout>
      </c:layout>
      <c:barChart>
        <c:barDir val="bar"/>
        <c:grouping val="clustered"/>
        <c:varyColors val="0"/>
        <c:ser>
          <c:idx val="0"/>
          <c:order val="0"/>
          <c:tx>
            <c:strRef>
              <c:f>'2017 Р19'!$B$13</c:f>
              <c:strCache>
                <c:ptCount val="1"/>
                <c:pt idx="0">
                  <c:v>2013</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Р19'!$C$13:$L$13</c:f>
              <c:numCache>
                <c:formatCode>General</c:formatCode>
                <c:ptCount val="10"/>
                <c:pt idx="0">
                  <c:v>8505</c:v>
                </c:pt>
                <c:pt idx="1">
                  <c:v>214</c:v>
                </c:pt>
                <c:pt idx="3">
                  <c:v>20786</c:v>
                </c:pt>
                <c:pt idx="7">
                  <c:v>5357</c:v>
                </c:pt>
                <c:pt idx="8">
                  <c:v>95</c:v>
                </c:pt>
                <c:pt idx="9">
                  <c:v>4</c:v>
                </c:pt>
              </c:numCache>
            </c:numRef>
          </c:val>
        </c:ser>
        <c:ser>
          <c:idx val="1"/>
          <c:order val="1"/>
          <c:tx>
            <c:strRef>
              <c:f>'2017 Р19'!$B$14</c:f>
              <c:strCache>
                <c:ptCount val="1"/>
                <c:pt idx="0">
                  <c:v>2014</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Р19'!$C$14:$L$14</c:f>
              <c:numCache>
                <c:formatCode>General</c:formatCode>
                <c:ptCount val="10"/>
                <c:pt idx="0">
                  <c:v>9269</c:v>
                </c:pt>
                <c:pt idx="1">
                  <c:v>274</c:v>
                </c:pt>
                <c:pt idx="3">
                  <c:v>15599</c:v>
                </c:pt>
                <c:pt idx="7">
                  <c:v>5926</c:v>
                </c:pt>
                <c:pt idx="8">
                  <c:v>142</c:v>
                </c:pt>
                <c:pt idx="9">
                  <c:v>23</c:v>
                </c:pt>
              </c:numCache>
            </c:numRef>
          </c:val>
        </c:ser>
        <c:ser>
          <c:idx val="2"/>
          <c:order val="2"/>
          <c:tx>
            <c:strRef>
              <c:f>'2017 Р19'!$B$15</c:f>
              <c:strCache>
                <c:ptCount val="1"/>
                <c:pt idx="0">
                  <c:v>2015</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Р19'!$C$15:$L$15</c:f>
              <c:numCache>
                <c:formatCode>General</c:formatCode>
                <c:ptCount val="10"/>
                <c:pt idx="0">
                  <c:v>9120</c:v>
                </c:pt>
                <c:pt idx="1">
                  <c:v>272</c:v>
                </c:pt>
                <c:pt idx="2">
                  <c:v>280</c:v>
                </c:pt>
                <c:pt idx="3">
                  <c:v>23092</c:v>
                </c:pt>
                <c:pt idx="5">
                  <c:v>3</c:v>
                </c:pt>
                <c:pt idx="6">
                  <c:v>2550</c:v>
                </c:pt>
                <c:pt idx="7">
                  <c:v>5059</c:v>
                </c:pt>
                <c:pt idx="8">
                  <c:v>87</c:v>
                </c:pt>
                <c:pt idx="9">
                  <c:v>20</c:v>
                </c:pt>
              </c:numCache>
            </c:numRef>
          </c:val>
        </c:ser>
        <c:ser>
          <c:idx val="3"/>
          <c:order val="3"/>
          <c:tx>
            <c:strRef>
              <c:f>'2017 Р19'!$B$16</c:f>
              <c:strCache>
                <c:ptCount val="1"/>
                <c:pt idx="0">
                  <c:v>2016</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Р19'!$C$16:$L$16</c:f>
              <c:numCache>
                <c:formatCode>General</c:formatCode>
                <c:ptCount val="10"/>
                <c:pt idx="0">
                  <c:v>7771</c:v>
                </c:pt>
                <c:pt idx="1">
                  <c:v>129</c:v>
                </c:pt>
                <c:pt idx="2">
                  <c:v>2477</c:v>
                </c:pt>
                <c:pt idx="3">
                  <c:v>22437</c:v>
                </c:pt>
                <c:pt idx="4">
                  <c:v>733</c:v>
                </c:pt>
                <c:pt idx="5">
                  <c:v>28</c:v>
                </c:pt>
                <c:pt idx="6">
                  <c:v>3828</c:v>
                </c:pt>
                <c:pt idx="7">
                  <c:v>4718</c:v>
                </c:pt>
                <c:pt idx="8">
                  <c:v>164</c:v>
                </c:pt>
                <c:pt idx="9">
                  <c:v>14</c:v>
                </c:pt>
              </c:numCache>
            </c:numRef>
          </c:val>
        </c:ser>
        <c:ser>
          <c:idx val="4"/>
          <c:order val="4"/>
          <c:tx>
            <c:strRef>
              <c:f>'2017 Р19'!$B$17</c:f>
              <c:strCache>
                <c:ptCount val="1"/>
                <c:pt idx="0">
                  <c:v>2017</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Р19'!$C$17:$L$17</c:f>
              <c:numCache>
                <c:formatCode>General</c:formatCode>
                <c:ptCount val="10"/>
                <c:pt idx="0">
                  <c:v>8201</c:v>
                </c:pt>
                <c:pt idx="1">
                  <c:v>67</c:v>
                </c:pt>
                <c:pt idx="2">
                  <c:v>3866</c:v>
                </c:pt>
                <c:pt idx="3">
                  <c:v>24005</c:v>
                </c:pt>
                <c:pt idx="4">
                  <c:v>1701</c:v>
                </c:pt>
                <c:pt idx="5">
                  <c:v>33</c:v>
                </c:pt>
                <c:pt idx="6">
                  <c:v>4387</c:v>
                </c:pt>
                <c:pt idx="7">
                  <c:v>4600</c:v>
                </c:pt>
                <c:pt idx="8">
                  <c:v>678</c:v>
                </c:pt>
                <c:pt idx="9">
                  <c:v>0</c:v>
                </c:pt>
              </c:numCache>
            </c:numRef>
          </c:val>
        </c:ser>
        <c:dLbls>
          <c:dLblPos val="outEnd"/>
          <c:showLegendKey val="0"/>
          <c:showVal val="1"/>
          <c:showCatName val="0"/>
          <c:showSerName val="0"/>
          <c:showPercent val="0"/>
          <c:showBubbleSize val="0"/>
        </c:dLbls>
        <c:gapWidth val="100"/>
        <c:axId val="412016472"/>
        <c:axId val="412016864"/>
      </c:barChart>
      <c:catAx>
        <c:axId val="41201647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12016864"/>
        <c:crosses val="autoZero"/>
        <c:auto val="1"/>
        <c:lblAlgn val="ctr"/>
        <c:lblOffset val="100"/>
        <c:noMultiLvlLbl val="0"/>
      </c:catAx>
      <c:valAx>
        <c:axId val="412016864"/>
        <c:scaling>
          <c:orientation val="minMax"/>
          <c:max val="25000"/>
          <c:min val="0"/>
        </c:scaling>
        <c:delete val="1"/>
        <c:axPos val="b"/>
        <c:numFmt formatCode="General" sourceLinked="1"/>
        <c:majorTickMark val="out"/>
        <c:minorTickMark val="none"/>
        <c:tickLblPos val="nextTo"/>
        <c:crossAx val="412016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Р2'!$B$17</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Р2'!$C$17:$G$17</c:f>
              <c:numCache>
                <c:formatCode>General</c:formatCode>
                <c:ptCount val="5"/>
                <c:pt idx="0">
                  <c:v>8006</c:v>
                </c:pt>
                <c:pt idx="1">
                  <c:v>8109</c:v>
                </c:pt>
                <c:pt idx="2">
                  <c:v>7595</c:v>
                </c:pt>
                <c:pt idx="3">
                  <c:v>2734</c:v>
                </c:pt>
                <c:pt idx="4">
                  <c:v>2621</c:v>
                </c:pt>
              </c:numCache>
            </c:numRef>
          </c:val>
        </c:ser>
        <c:ser>
          <c:idx val="1"/>
          <c:order val="1"/>
          <c:tx>
            <c:strRef>
              <c:f>'2017 Р2'!$B$18</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Р2'!$C$18:$G$18</c:f>
              <c:numCache>
                <c:formatCode>General</c:formatCode>
                <c:ptCount val="5"/>
                <c:pt idx="0">
                  <c:v>333</c:v>
                </c:pt>
                <c:pt idx="1">
                  <c:v>233</c:v>
                </c:pt>
                <c:pt idx="2">
                  <c:v>640</c:v>
                </c:pt>
                <c:pt idx="3">
                  <c:v>994</c:v>
                </c:pt>
                <c:pt idx="4">
                  <c:v>977</c:v>
                </c:pt>
              </c:numCache>
            </c:numRef>
          </c:val>
        </c:ser>
        <c:dLbls>
          <c:showLegendKey val="0"/>
          <c:showVal val="0"/>
          <c:showCatName val="0"/>
          <c:showSerName val="0"/>
          <c:showPercent val="0"/>
          <c:showBubbleSize val="0"/>
        </c:dLbls>
        <c:axId val="409091208"/>
        <c:axId val="409090424"/>
      </c:areaChart>
      <c:catAx>
        <c:axId val="4090912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09090424"/>
        <c:crosses val="autoZero"/>
        <c:auto val="1"/>
        <c:lblAlgn val="ctr"/>
        <c:lblOffset val="100"/>
        <c:noMultiLvlLbl val="0"/>
      </c:catAx>
      <c:valAx>
        <c:axId val="4090904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09091208"/>
        <c:crosses val="autoZero"/>
        <c:crossBetween val="midCat"/>
        <c:majorUnit val="3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plotArea>
      <c:layout>
        <c:manualLayout>
          <c:layoutTarget val="inner"/>
          <c:xMode val="edge"/>
          <c:yMode val="edge"/>
          <c:x val="3.0555555555555555E-2"/>
          <c:y val="8.1157407407407414E-2"/>
          <c:w val="0.93888888888888888"/>
          <c:h val="0.67492910506844783"/>
        </c:manualLayout>
      </c:layout>
      <c:lineChart>
        <c:grouping val="standard"/>
        <c:varyColors val="0"/>
        <c:ser>
          <c:idx val="0"/>
          <c:order val="0"/>
          <c:tx>
            <c:strRef>
              <c:f>'2017 Р3'!$B$23</c:f>
              <c:strCache>
                <c:ptCount val="1"/>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Р3'!$C$22:$G$22</c:f>
              <c:strCache>
                <c:ptCount val="5"/>
                <c:pt idx="0">
                  <c:v>2013</c:v>
                </c:pt>
                <c:pt idx="1">
                  <c:v>2014</c:v>
                </c:pt>
                <c:pt idx="2">
                  <c:v>2015</c:v>
                </c:pt>
                <c:pt idx="3">
                  <c:v>2016</c:v>
                </c:pt>
                <c:pt idx="4">
                  <c:v>2017</c:v>
                </c:pt>
              </c:strCache>
            </c:strRef>
          </c:cat>
          <c:val>
            <c:numRef>
              <c:f>'2017 Р3'!$C$23:$G$23</c:f>
              <c:numCache>
                <c:formatCode>General</c:formatCode>
                <c:ptCount val="5"/>
                <c:pt idx="0">
                  <c:v>167</c:v>
                </c:pt>
                <c:pt idx="1">
                  <c:v>295</c:v>
                </c:pt>
                <c:pt idx="2">
                  <c:v>253</c:v>
                </c:pt>
                <c:pt idx="3">
                  <c:v>2195</c:v>
                </c:pt>
                <c:pt idx="4">
                  <c:v>2521</c:v>
                </c:pt>
              </c:numCache>
            </c:numRef>
          </c:val>
          <c:smooth val="0"/>
        </c:ser>
        <c:dLbls>
          <c:dLblPos val="t"/>
          <c:showLegendKey val="0"/>
          <c:showVal val="1"/>
          <c:showCatName val="0"/>
          <c:showSerName val="0"/>
          <c:showPercent val="0"/>
          <c:showBubbleSize val="0"/>
        </c:dLbls>
        <c:smooth val="0"/>
        <c:axId val="409088464"/>
        <c:axId val="409090816"/>
      </c:lineChart>
      <c:catAx>
        <c:axId val="40908846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409090816"/>
        <c:crosses val="autoZero"/>
        <c:auto val="1"/>
        <c:lblAlgn val="ctr"/>
        <c:lblOffset val="100"/>
        <c:noMultiLvlLbl val="0"/>
      </c:catAx>
      <c:valAx>
        <c:axId val="409090816"/>
        <c:scaling>
          <c:orientation val="minMax"/>
        </c:scaling>
        <c:delete val="1"/>
        <c:axPos val="l"/>
        <c:numFmt formatCode="General" sourceLinked="1"/>
        <c:majorTickMark val="out"/>
        <c:minorTickMark val="none"/>
        <c:tickLblPos val="nextTo"/>
        <c:crossAx val="4090884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Р4'!$B$17</c:f>
              <c:strCache>
                <c:ptCount val="1"/>
                <c:pt idx="0">
                  <c:v>направлено предостережени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Р4'!$C$17:$G$17</c:f>
              <c:numCache>
                <c:formatCode>General</c:formatCode>
                <c:ptCount val="5"/>
                <c:pt idx="0">
                  <c:v>56</c:v>
                </c:pt>
                <c:pt idx="1">
                  <c:v>91</c:v>
                </c:pt>
                <c:pt idx="2">
                  <c:v>49</c:v>
                </c:pt>
                <c:pt idx="3">
                  <c:v>90</c:v>
                </c:pt>
                <c:pt idx="4">
                  <c:v>95</c:v>
                </c:pt>
              </c:numCache>
            </c:numRef>
          </c:val>
        </c:ser>
        <c:ser>
          <c:idx val="1"/>
          <c:order val="1"/>
          <c:tx>
            <c:strRef>
              <c:f>'2017 Р4'!$B$18</c:f>
              <c:strCache>
                <c:ptCount val="1"/>
                <c:pt idx="0">
                  <c:v>из них - ст. 15 135-ФЗ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Р4'!$C$18:$G$18</c:f>
              <c:numCache>
                <c:formatCode>General</c:formatCode>
                <c:ptCount val="5"/>
                <c:pt idx="4">
                  <c:v>59</c:v>
                </c:pt>
              </c:numCache>
            </c:numRef>
          </c:val>
        </c:ser>
        <c:dLbls>
          <c:showLegendKey val="0"/>
          <c:showVal val="1"/>
          <c:showCatName val="0"/>
          <c:showSerName val="0"/>
          <c:showPercent val="0"/>
          <c:showBubbleSize val="0"/>
        </c:dLbls>
        <c:gapWidth val="150"/>
        <c:axId val="409091992"/>
        <c:axId val="409092384"/>
      </c:barChart>
      <c:catAx>
        <c:axId val="409091992"/>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409092384"/>
        <c:crosses val="autoZero"/>
        <c:auto val="1"/>
        <c:lblAlgn val="ctr"/>
        <c:lblOffset val="100"/>
        <c:noMultiLvlLbl val="0"/>
      </c:catAx>
      <c:valAx>
        <c:axId val="409092384"/>
        <c:scaling>
          <c:orientation val="minMax"/>
        </c:scaling>
        <c:delete val="1"/>
        <c:axPos val="l"/>
        <c:numFmt formatCode="General" sourceLinked="1"/>
        <c:majorTickMark val="out"/>
        <c:minorTickMark val="none"/>
        <c:tickLblPos val="nextTo"/>
        <c:crossAx val="409091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Р7'!$B$13</c:f>
              <c:strCache>
                <c:ptCount val="1"/>
                <c:pt idx="0">
                  <c:v>выдано предупреждений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Р7'!$C$13:$G$13</c:f>
              <c:numCache>
                <c:formatCode>General</c:formatCode>
                <c:ptCount val="5"/>
                <c:pt idx="0">
                  <c:v>1759</c:v>
                </c:pt>
                <c:pt idx="1">
                  <c:v>1928</c:v>
                </c:pt>
                <c:pt idx="2">
                  <c:v>2362</c:v>
                </c:pt>
                <c:pt idx="3">
                  <c:v>5486</c:v>
                </c:pt>
                <c:pt idx="4">
                  <c:v>4477</c:v>
                </c:pt>
              </c:numCache>
            </c:numRef>
          </c:val>
        </c:ser>
        <c:ser>
          <c:idx val="1"/>
          <c:order val="1"/>
          <c:tx>
            <c:strRef>
              <c:f>'2017 Р5 Р6 Р7'!$B$14</c:f>
              <c:strCache>
                <c:ptCount val="1"/>
                <c:pt idx="0">
                  <c:v>выполнено предупреждений
(с учетом выданных
в предыдущих периодах)</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Р7'!$C$14:$G$14</c:f>
              <c:numCache>
                <c:formatCode>General</c:formatCode>
                <c:ptCount val="5"/>
                <c:pt idx="0">
                  <c:v>1275</c:v>
                </c:pt>
                <c:pt idx="1">
                  <c:v>1443</c:v>
                </c:pt>
                <c:pt idx="2">
                  <c:v>1953</c:v>
                </c:pt>
                <c:pt idx="3">
                  <c:v>4215</c:v>
                </c:pt>
                <c:pt idx="4">
                  <c:v>3381</c:v>
                </c:pt>
              </c:numCache>
            </c:numRef>
          </c:val>
        </c:ser>
        <c:dLbls>
          <c:dLblPos val="outEnd"/>
          <c:showLegendKey val="0"/>
          <c:showVal val="1"/>
          <c:showCatName val="0"/>
          <c:showSerName val="0"/>
          <c:showPercent val="0"/>
          <c:showBubbleSize val="0"/>
        </c:dLbls>
        <c:gapWidth val="100"/>
        <c:overlap val="-24"/>
        <c:axId val="409093168"/>
        <c:axId val="409093560"/>
      </c:barChart>
      <c:catAx>
        <c:axId val="40909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09093560"/>
        <c:crosses val="autoZero"/>
        <c:auto val="1"/>
        <c:lblAlgn val="ctr"/>
        <c:lblOffset val="100"/>
        <c:noMultiLvlLbl val="0"/>
      </c:catAx>
      <c:valAx>
        <c:axId val="409093560"/>
        <c:scaling>
          <c:orientation val="minMax"/>
        </c:scaling>
        <c:delete val="1"/>
        <c:axPos val="l"/>
        <c:numFmt formatCode="General" sourceLinked="1"/>
        <c:majorTickMark val="none"/>
        <c:minorTickMark val="none"/>
        <c:tickLblPos val="nextTo"/>
        <c:crossAx val="409093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'2017 Р5 Р6 Р7'!$B$34</c:f>
              <c:strCache>
                <c:ptCount val="1"/>
                <c:pt idx="0">
                  <c:v>%</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Р7'!$C$33:$G$33</c:f>
              <c:strCache>
                <c:ptCount val="5"/>
                <c:pt idx="0">
                  <c:v>2013</c:v>
                </c:pt>
                <c:pt idx="1">
                  <c:v>2014</c:v>
                </c:pt>
                <c:pt idx="2">
                  <c:v>2015</c:v>
                </c:pt>
                <c:pt idx="3">
                  <c:v>2016</c:v>
                </c:pt>
                <c:pt idx="4">
                  <c:v>2017</c:v>
                </c:pt>
              </c:strCache>
            </c:strRef>
          </c:cat>
          <c:val>
            <c:numRef>
              <c:f>'2017 Р5 Р6 Р7'!$C$34:$G$34</c:f>
              <c:numCache>
                <c:formatCode>0%</c:formatCode>
                <c:ptCount val="5"/>
                <c:pt idx="0">
                  <c:v>0.72484366117111998</c:v>
                </c:pt>
                <c:pt idx="1">
                  <c:v>0.74844398340248963</c:v>
                </c:pt>
                <c:pt idx="2">
                  <c:v>0.8268416596104996</c:v>
                </c:pt>
                <c:pt idx="3">
                  <c:v>0.76831935836675169</c:v>
                </c:pt>
                <c:pt idx="4">
                  <c:v>0.75519320973866433</c:v>
                </c:pt>
              </c:numCache>
            </c:numRef>
          </c:val>
        </c:ser>
        <c:dLbls>
          <c:showLegendKey val="0"/>
          <c:showVal val="1"/>
          <c:showCatName val="0"/>
          <c:showSerName val="0"/>
          <c:showPercent val="0"/>
          <c:showBubbleSize val="0"/>
        </c:dLbls>
        <c:gapWidth val="100"/>
        <c:overlap val="-24"/>
        <c:axId val="409094344"/>
        <c:axId val="409094736"/>
      </c:barChart>
      <c:catAx>
        <c:axId val="409094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09094736"/>
        <c:crosses val="autoZero"/>
        <c:auto val="1"/>
        <c:lblAlgn val="ctr"/>
        <c:lblOffset val="100"/>
        <c:noMultiLvlLbl val="0"/>
      </c:catAx>
      <c:valAx>
        <c:axId val="409094736"/>
        <c:scaling>
          <c:orientation val="minMax"/>
        </c:scaling>
        <c:delete val="1"/>
        <c:axPos val="l"/>
        <c:numFmt formatCode="0%" sourceLinked="1"/>
        <c:majorTickMark val="none"/>
        <c:minorTickMark val="none"/>
        <c:tickLblPos val="nextTo"/>
        <c:crossAx val="4090943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'2017 Р5 Р6 Р7'!$I$13</c:f>
              <c:strCache>
                <c:ptCount val="1"/>
                <c:pt idx="0">
                  <c:v>возбуждено дел</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3"/>
              <c:layout>
                <c:manualLayout>
                  <c:x val="-1.634574240479247E-2"/>
                  <c:y val="4.0954724409448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9880188275566969E-2"/>
                  <c:y val="2.706583552055999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Р7'!$J$13:$N$13</c:f>
              <c:numCache>
                <c:formatCode>General</c:formatCode>
                <c:ptCount val="5"/>
                <c:pt idx="0">
                  <c:v>10028</c:v>
                </c:pt>
                <c:pt idx="1">
                  <c:v>9755</c:v>
                </c:pt>
                <c:pt idx="2">
                  <c:v>9092</c:v>
                </c:pt>
                <c:pt idx="3">
                  <c:v>4040</c:v>
                </c:pt>
                <c:pt idx="4">
                  <c:v>3534</c:v>
                </c:pt>
              </c:numCache>
            </c:numRef>
          </c:val>
          <c:smooth val="0"/>
        </c:ser>
        <c:ser>
          <c:idx val="1"/>
          <c:order val="1"/>
          <c:tx>
            <c:strRef>
              <c:f>'2017 Р5 Р6 Р7'!$I$14</c:f>
              <c:strCache>
                <c:ptCount val="1"/>
                <c:pt idx="0">
                  <c:v>выдано предупреждений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Р7'!$J$14:$N$14</c:f>
              <c:numCache>
                <c:formatCode>General</c:formatCode>
                <c:ptCount val="5"/>
                <c:pt idx="0">
                  <c:v>1759</c:v>
                </c:pt>
                <c:pt idx="1">
                  <c:v>1928</c:v>
                </c:pt>
                <c:pt idx="2">
                  <c:v>2362</c:v>
                </c:pt>
                <c:pt idx="3">
                  <c:v>5486</c:v>
                </c:pt>
                <c:pt idx="4">
                  <c:v>4477</c:v>
                </c:pt>
              </c:numCache>
            </c:numRef>
          </c:val>
          <c:smooth val="0"/>
        </c:ser>
        <c:dLbls>
          <c:dLblPos val="t"/>
          <c:showLegendKey val="0"/>
          <c:showVal val="1"/>
          <c:showCatName val="0"/>
          <c:showSerName val="0"/>
          <c:showPercent val="0"/>
          <c:showBubbleSize val="0"/>
        </c:dLbls>
        <c:smooth val="0"/>
        <c:axId val="399897640"/>
        <c:axId val="408823240"/>
      </c:lineChart>
      <c:catAx>
        <c:axId val="399897640"/>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408823240"/>
        <c:crosses val="autoZero"/>
        <c:auto val="1"/>
        <c:lblAlgn val="ctr"/>
        <c:lblOffset val="100"/>
        <c:noMultiLvlLbl val="0"/>
      </c:catAx>
      <c:valAx>
        <c:axId val="408823240"/>
        <c:scaling>
          <c:orientation val="minMax"/>
        </c:scaling>
        <c:delete val="1"/>
        <c:axPos val="l"/>
        <c:numFmt formatCode="General" sourceLinked="1"/>
        <c:majorTickMark val="none"/>
        <c:minorTickMark val="none"/>
        <c:tickLblPos val="nextTo"/>
        <c:crossAx val="399897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Р8'!$B$14</c:f>
              <c:strCache>
                <c:ptCount val="1"/>
                <c:pt idx="0">
                  <c:v>по ст. 10 135-ФЗ</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Р8'!$C$14:$G$14</c:f>
              <c:numCache>
                <c:formatCode>General</c:formatCode>
                <c:ptCount val="5"/>
                <c:pt idx="0">
                  <c:v>2634</c:v>
                </c:pt>
                <c:pt idx="1">
                  <c:v>3091</c:v>
                </c:pt>
                <c:pt idx="2">
                  <c:v>3059</c:v>
                </c:pt>
                <c:pt idx="3">
                  <c:v>1340</c:v>
                </c:pt>
                <c:pt idx="4">
                  <c:v>847</c:v>
                </c:pt>
              </c:numCache>
            </c:numRef>
          </c:val>
        </c:ser>
        <c:ser>
          <c:idx val="1"/>
          <c:order val="1"/>
          <c:tx>
            <c:strRef>
              <c:f>'2017 Р8'!$B$15</c:f>
              <c:strCache>
                <c:ptCount val="1"/>
                <c:pt idx="0">
                  <c:v>по другим ст.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Р8'!$C$15:$G$15</c:f>
              <c:numCache>
                <c:formatCode>General</c:formatCode>
                <c:ptCount val="5"/>
                <c:pt idx="0">
                  <c:v>7394</c:v>
                </c:pt>
                <c:pt idx="1">
                  <c:v>6664</c:v>
                </c:pt>
                <c:pt idx="2">
                  <c:v>6033</c:v>
                </c:pt>
                <c:pt idx="3">
                  <c:v>2700</c:v>
                </c:pt>
                <c:pt idx="4">
                  <c:v>2687</c:v>
                </c:pt>
              </c:numCache>
            </c:numRef>
          </c:val>
        </c:ser>
        <c:dLbls>
          <c:showLegendKey val="0"/>
          <c:showVal val="0"/>
          <c:showCatName val="0"/>
          <c:showSerName val="0"/>
          <c:showPercent val="0"/>
          <c:showBubbleSize val="0"/>
        </c:dLbls>
        <c:axId val="411998696"/>
        <c:axId val="411999088"/>
      </c:areaChart>
      <c:catAx>
        <c:axId val="4119986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11999088"/>
        <c:crosses val="autoZero"/>
        <c:auto val="1"/>
        <c:lblAlgn val="ctr"/>
        <c:lblOffset val="100"/>
        <c:noMultiLvlLbl val="0"/>
      </c:catAx>
      <c:valAx>
        <c:axId val="411999088"/>
        <c:scaling>
          <c:orientation val="minMax"/>
          <c:max val="10028"/>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11998696"/>
        <c:crosses val="autoZero"/>
        <c:crossBetween val="midCat"/>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cked"/>
        <c:varyColors val="0"/>
        <c:ser>
          <c:idx val="0"/>
          <c:order val="0"/>
          <c:tx>
            <c:strRef>
              <c:f>'2017 Р9'!$A$13</c:f>
              <c:strCache>
                <c:ptCount val="1"/>
                <c:pt idx="0">
                  <c:v>субъекты естественных монополий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Р9'!$B$13:$F$13</c:f>
              <c:numCache>
                <c:formatCode>General</c:formatCode>
                <c:ptCount val="5"/>
                <c:pt idx="0">
                  <c:v>1603</c:v>
                </c:pt>
                <c:pt idx="1">
                  <c:v>1977</c:v>
                </c:pt>
                <c:pt idx="2">
                  <c:v>2182</c:v>
                </c:pt>
                <c:pt idx="3">
                  <c:v>777</c:v>
                </c:pt>
                <c:pt idx="4">
                  <c:v>468</c:v>
                </c:pt>
              </c:numCache>
            </c:numRef>
          </c:val>
        </c:ser>
        <c:ser>
          <c:idx val="1"/>
          <c:order val="1"/>
          <c:tx>
            <c:strRef>
              <c:f>'2017 Р9'!$A$14</c:f>
              <c:strCache>
                <c:ptCount val="1"/>
                <c:pt idx="0">
                  <c:v>прочие субъекты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Р9'!$B$14:$F$14</c:f>
              <c:numCache>
                <c:formatCode>General</c:formatCode>
                <c:ptCount val="5"/>
                <c:pt idx="0">
                  <c:v>1030</c:v>
                </c:pt>
                <c:pt idx="1">
                  <c:v>1113</c:v>
                </c:pt>
                <c:pt idx="2">
                  <c:v>878</c:v>
                </c:pt>
                <c:pt idx="3">
                  <c:v>563</c:v>
                </c:pt>
                <c:pt idx="4">
                  <c:v>379</c:v>
                </c:pt>
              </c:numCache>
            </c:numRef>
          </c:val>
        </c:ser>
        <c:dLbls>
          <c:showLegendKey val="0"/>
          <c:showVal val="0"/>
          <c:showCatName val="0"/>
          <c:showSerName val="0"/>
          <c:showPercent val="0"/>
          <c:showBubbleSize val="0"/>
        </c:dLbls>
        <c:axId val="411999872"/>
        <c:axId val="412000264"/>
      </c:areaChart>
      <c:catAx>
        <c:axId val="4119998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12000264"/>
        <c:crosses val="autoZero"/>
        <c:auto val="1"/>
        <c:lblAlgn val="ctr"/>
        <c:lblOffset val="100"/>
        <c:noMultiLvlLbl val="0"/>
      </c:catAx>
      <c:valAx>
        <c:axId val="412000264"/>
        <c:scaling>
          <c:orientation val="minMax"/>
          <c:max val="350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411999872"/>
        <c:crosses val="autoZero"/>
        <c:crossBetween val="midCat"/>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7.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0">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C62E-7C67-4F7A-8317-2DFBED87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16800</Words>
  <Characters>95765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Шлычков Александр Александрович</dc:creator>
  <cp:keywords/>
  <dc:description/>
  <cp:lastModifiedBy>Матяшевская Марьяна Игоревна</cp:lastModifiedBy>
  <cp:revision>2</cp:revision>
  <dcterms:created xsi:type="dcterms:W3CDTF">2018-04-12T10:54:00Z</dcterms:created>
  <dcterms:modified xsi:type="dcterms:W3CDTF">2018-04-12T10:54:00Z</dcterms:modified>
</cp:coreProperties>
</file>